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D2AF" w14:textId="4A487EBB" w:rsidR="00DC75CA" w:rsidRDefault="00DC75CA" w:rsidP="00DC75CA">
      <w:pPr>
        <w:rPr>
          <w:rFonts w:ascii="Seaford" w:hAnsi="Seaford"/>
          <w:sz w:val="22"/>
          <w:szCs w:val="22"/>
          <w:lang w:val="en-GB"/>
        </w:rPr>
      </w:pPr>
    </w:p>
    <w:p w14:paraId="51DEC26D" w14:textId="77777777" w:rsidR="00DC75CA" w:rsidRPr="00DC75CA" w:rsidRDefault="00DC75CA" w:rsidP="00DC75CA">
      <w:pPr>
        <w:rPr>
          <w:rFonts w:ascii="Seaford" w:hAnsi="Seaford"/>
          <w:sz w:val="22"/>
          <w:szCs w:val="22"/>
          <w:lang w:val="en-GB"/>
        </w:rPr>
      </w:pPr>
    </w:p>
    <w:p w14:paraId="441232BB" w14:textId="77777777" w:rsidR="00363FDD" w:rsidRDefault="00363FDD" w:rsidP="00DC75CA">
      <w:pPr>
        <w:rPr>
          <w:rFonts w:ascii="Seaford" w:hAnsi="Seaford"/>
          <w:sz w:val="22"/>
          <w:szCs w:val="22"/>
          <w:lang w:val="en-GB"/>
        </w:rPr>
      </w:pPr>
    </w:p>
    <w:p w14:paraId="396D814F" w14:textId="77777777" w:rsidR="00363FDD" w:rsidRDefault="00363FDD" w:rsidP="00DC75CA">
      <w:pPr>
        <w:rPr>
          <w:rFonts w:ascii="Seaford" w:hAnsi="Seaford"/>
          <w:sz w:val="22"/>
          <w:szCs w:val="22"/>
          <w:lang w:val="en-GB"/>
        </w:rPr>
      </w:pPr>
    </w:p>
    <w:p w14:paraId="4AF23E7F" w14:textId="77777777" w:rsidR="00363FDD" w:rsidRDefault="00363FDD" w:rsidP="00DC75CA">
      <w:pPr>
        <w:rPr>
          <w:rFonts w:ascii="Seaford" w:hAnsi="Seaford"/>
          <w:sz w:val="22"/>
          <w:szCs w:val="22"/>
          <w:lang w:val="en-GB"/>
        </w:rPr>
      </w:pPr>
    </w:p>
    <w:p w14:paraId="21820660" w14:textId="77777777" w:rsidR="00363FDD" w:rsidRDefault="00363FDD" w:rsidP="00DC75CA">
      <w:pPr>
        <w:rPr>
          <w:rFonts w:ascii="Seaford" w:hAnsi="Seaford"/>
          <w:sz w:val="22"/>
          <w:szCs w:val="22"/>
          <w:lang w:val="en-GB"/>
        </w:rPr>
      </w:pPr>
    </w:p>
    <w:p w14:paraId="6B827B48" w14:textId="4A545D09" w:rsidR="00D6258D" w:rsidRPr="00DC75CA" w:rsidRDefault="00BB4675" w:rsidP="00DC75CA">
      <w:pPr>
        <w:rPr>
          <w:rFonts w:ascii="Seaford" w:hAnsi="Seaford"/>
          <w:sz w:val="22"/>
          <w:szCs w:val="22"/>
          <w:lang w:val="en-GB"/>
        </w:rPr>
      </w:pPr>
      <w:r>
        <w:rPr>
          <w:rFonts w:ascii="Seaford" w:hAnsi="Seaford"/>
          <w:sz w:val="22"/>
          <w:szCs w:val="22"/>
          <w:lang w:val="en-GB"/>
        </w:rPr>
        <w:t>24</w:t>
      </w:r>
      <w:r w:rsidR="00C42FEA" w:rsidRPr="00DC75CA">
        <w:rPr>
          <w:rFonts w:ascii="Seaford" w:hAnsi="Seaford"/>
          <w:sz w:val="22"/>
          <w:szCs w:val="22"/>
          <w:lang w:val="en-GB"/>
        </w:rPr>
        <w:t xml:space="preserve"> August 2021</w:t>
      </w:r>
    </w:p>
    <w:p w14:paraId="115ED30E" w14:textId="143B5E21" w:rsidR="00C42FEA" w:rsidRDefault="00C42FEA" w:rsidP="00DC75CA">
      <w:pPr>
        <w:rPr>
          <w:rFonts w:ascii="Seaford" w:hAnsi="Seaford"/>
          <w:sz w:val="22"/>
          <w:szCs w:val="22"/>
          <w:lang w:val="en-GB"/>
        </w:rPr>
      </w:pPr>
    </w:p>
    <w:p w14:paraId="4496D5E1" w14:textId="77777777" w:rsidR="00363FDD" w:rsidRPr="00DC75CA" w:rsidRDefault="00363FDD" w:rsidP="00DC75CA">
      <w:pPr>
        <w:rPr>
          <w:rFonts w:ascii="Seaford" w:hAnsi="Seaford"/>
          <w:sz w:val="22"/>
          <w:szCs w:val="22"/>
          <w:lang w:val="en-GB"/>
        </w:rPr>
      </w:pPr>
    </w:p>
    <w:p w14:paraId="11B36385" w14:textId="77777777" w:rsidR="00DC75CA" w:rsidRPr="00DC75CA" w:rsidRDefault="00DC75CA" w:rsidP="00DC75CA">
      <w:pPr>
        <w:rPr>
          <w:rFonts w:ascii="Seaford" w:hAnsi="Seaford"/>
          <w:sz w:val="22"/>
          <w:szCs w:val="22"/>
          <w:lang w:val="en-GB"/>
        </w:rPr>
      </w:pPr>
      <w:r w:rsidRPr="00DC75CA">
        <w:rPr>
          <w:rFonts w:ascii="Seaford" w:hAnsi="Seaford"/>
          <w:sz w:val="22"/>
          <w:szCs w:val="22"/>
          <w:lang w:val="en-GB"/>
        </w:rPr>
        <w:t>Submissions</w:t>
      </w:r>
    </w:p>
    <w:p w14:paraId="29FD8FCD" w14:textId="77777777" w:rsidR="00DC75CA" w:rsidRPr="00DC75CA" w:rsidRDefault="00DC75CA" w:rsidP="00DC75CA">
      <w:pPr>
        <w:rPr>
          <w:rFonts w:ascii="Seaford" w:hAnsi="Seaford"/>
          <w:sz w:val="22"/>
          <w:szCs w:val="22"/>
          <w:lang w:val="en-GB"/>
        </w:rPr>
      </w:pPr>
      <w:r w:rsidRPr="00DC75CA">
        <w:rPr>
          <w:rFonts w:ascii="Seaford" w:hAnsi="Seaford"/>
          <w:sz w:val="22"/>
          <w:szCs w:val="22"/>
          <w:lang w:val="en-GB"/>
        </w:rPr>
        <w:t>Electricity Authority</w:t>
      </w:r>
    </w:p>
    <w:p w14:paraId="7F8284EF" w14:textId="77777777" w:rsidR="00DC75CA" w:rsidRPr="00DC75CA" w:rsidRDefault="00DC75CA" w:rsidP="00DC75CA">
      <w:pPr>
        <w:rPr>
          <w:rFonts w:ascii="Seaford" w:hAnsi="Seaford"/>
          <w:sz w:val="22"/>
          <w:szCs w:val="22"/>
          <w:lang w:val="en-GB"/>
        </w:rPr>
      </w:pPr>
      <w:r w:rsidRPr="00DC75CA">
        <w:rPr>
          <w:rFonts w:ascii="Seaford" w:hAnsi="Seaford"/>
          <w:sz w:val="22"/>
          <w:szCs w:val="22"/>
          <w:lang w:val="en-GB"/>
        </w:rPr>
        <w:t>PO Box 10041</w:t>
      </w:r>
    </w:p>
    <w:p w14:paraId="6019ECC7" w14:textId="2F0B374F" w:rsidR="00C42FEA" w:rsidRPr="00DC75CA" w:rsidRDefault="00DC75CA" w:rsidP="00DC75CA">
      <w:pPr>
        <w:rPr>
          <w:rFonts w:ascii="Seaford" w:hAnsi="Seaford"/>
          <w:sz w:val="22"/>
          <w:szCs w:val="22"/>
          <w:lang w:val="en-GB"/>
        </w:rPr>
      </w:pPr>
      <w:r w:rsidRPr="00DC75CA">
        <w:rPr>
          <w:rFonts w:ascii="Seaford" w:hAnsi="Seaford"/>
          <w:sz w:val="22"/>
          <w:szCs w:val="22"/>
          <w:lang w:val="en-GB"/>
        </w:rPr>
        <w:t>Wellington 6143</w:t>
      </w:r>
    </w:p>
    <w:p w14:paraId="5C55A505" w14:textId="6997F3EC" w:rsidR="00DC75CA" w:rsidRDefault="00DC75CA" w:rsidP="00DC75CA">
      <w:pPr>
        <w:rPr>
          <w:rFonts w:ascii="Seaford" w:hAnsi="Seaford"/>
          <w:sz w:val="22"/>
          <w:szCs w:val="22"/>
          <w:lang w:val="en-GB"/>
        </w:rPr>
      </w:pPr>
    </w:p>
    <w:p w14:paraId="0575A71D" w14:textId="77777777" w:rsidR="00363FDD" w:rsidRPr="00DC75CA" w:rsidRDefault="00363FDD" w:rsidP="00DC75CA">
      <w:pPr>
        <w:rPr>
          <w:rFonts w:ascii="Seaford" w:hAnsi="Seaford"/>
          <w:sz w:val="22"/>
          <w:szCs w:val="22"/>
          <w:lang w:val="en-GB"/>
        </w:rPr>
      </w:pPr>
    </w:p>
    <w:p w14:paraId="6838CA3E" w14:textId="5FD4741B" w:rsidR="00DC75CA" w:rsidRPr="00DC75CA" w:rsidRDefault="00DC75CA" w:rsidP="00DC75CA">
      <w:pPr>
        <w:rPr>
          <w:rFonts w:ascii="Seaford" w:hAnsi="Seaford"/>
          <w:sz w:val="22"/>
          <w:szCs w:val="22"/>
          <w:lang w:val="en-GB"/>
        </w:rPr>
      </w:pPr>
      <w:r w:rsidRPr="00DC75CA">
        <w:rPr>
          <w:rFonts w:ascii="Seaford" w:hAnsi="Seaford"/>
          <w:sz w:val="22"/>
          <w:szCs w:val="22"/>
          <w:lang w:val="en-GB"/>
        </w:rPr>
        <w:t>Via email: infoframework@ea.govt.nz</w:t>
      </w:r>
    </w:p>
    <w:p w14:paraId="1700CEAF" w14:textId="0D98B91D" w:rsidR="00DC75CA" w:rsidRDefault="00DC75CA" w:rsidP="00DC75CA">
      <w:pPr>
        <w:rPr>
          <w:rFonts w:ascii="Seaford" w:hAnsi="Seaford"/>
          <w:sz w:val="22"/>
          <w:szCs w:val="22"/>
          <w:lang w:val="en-GB"/>
        </w:rPr>
      </w:pPr>
    </w:p>
    <w:p w14:paraId="37023C24" w14:textId="77777777" w:rsidR="00363FDD" w:rsidRPr="00DC75CA" w:rsidRDefault="00363FDD" w:rsidP="00DC75CA">
      <w:pPr>
        <w:rPr>
          <w:rFonts w:ascii="Seaford" w:hAnsi="Seaford"/>
          <w:sz w:val="22"/>
          <w:szCs w:val="22"/>
          <w:lang w:val="en-GB"/>
        </w:rPr>
      </w:pPr>
    </w:p>
    <w:p w14:paraId="7CCD19B5" w14:textId="40C10258" w:rsidR="00C42FEA" w:rsidRPr="00DC75CA" w:rsidRDefault="00C42FEA" w:rsidP="00DC75CA">
      <w:pPr>
        <w:jc w:val="center"/>
        <w:rPr>
          <w:rFonts w:ascii="Seaford" w:hAnsi="Seaford"/>
          <w:b/>
          <w:bCs/>
          <w:sz w:val="22"/>
          <w:szCs w:val="22"/>
          <w:lang w:val="en-GB"/>
        </w:rPr>
      </w:pPr>
      <w:r w:rsidRPr="00DC75CA">
        <w:rPr>
          <w:rFonts w:ascii="Seaford" w:hAnsi="Seaford"/>
          <w:b/>
          <w:bCs/>
          <w:sz w:val="22"/>
          <w:szCs w:val="22"/>
          <w:lang w:val="en-GB"/>
        </w:rPr>
        <w:t>Submission on ‘Improving the framework for the Authority</w:t>
      </w:r>
      <w:r w:rsidR="00EB2E70">
        <w:rPr>
          <w:rFonts w:ascii="Seaford" w:hAnsi="Seaford"/>
          <w:b/>
          <w:bCs/>
          <w:sz w:val="22"/>
          <w:szCs w:val="22"/>
          <w:lang w:val="en-GB"/>
        </w:rPr>
        <w:t>’</w:t>
      </w:r>
      <w:r w:rsidRPr="00DC75CA">
        <w:rPr>
          <w:rFonts w:ascii="Seaford" w:hAnsi="Seaford"/>
          <w:b/>
          <w:bCs/>
          <w:sz w:val="22"/>
          <w:szCs w:val="22"/>
          <w:lang w:val="en-GB"/>
        </w:rPr>
        <w:t>s information gathering’</w:t>
      </w:r>
    </w:p>
    <w:p w14:paraId="62E643AD" w14:textId="6BCA0A2A" w:rsidR="00C42FEA" w:rsidRDefault="00C42FEA" w:rsidP="00DC75CA">
      <w:pPr>
        <w:rPr>
          <w:rFonts w:ascii="Seaford" w:hAnsi="Seaford"/>
          <w:sz w:val="22"/>
          <w:szCs w:val="22"/>
          <w:lang w:val="en-GB"/>
        </w:rPr>
      </w:pPr>
    </w:p>
    <w:p w14:paraId="40F4EC56" w14:textId="77777777" w:rsidR="00363FDD" w:rsidRPr="00DC75CA" w:rsidRDefault="00363FDD" w:rsidP="00DC75CA">
      <w:pPr>
        <w:rPr>
          <w:rFonts w:ascii="Seaford" w:hAnsi="Seaford"/>
          <w:sz w:val="22"/>
          <w:szCs w:val="22"/>
          <w:lang w:val="en-GB"/>
        </w:rPr>
      </w:pPr>
    </w:p>
    <w:p w14:paraId="2EFF5B27" w14:textId="198A42A4" w:rsidR="00C42FEA" w:rsidRPr="00DC75CA" w:rsidRDefault="00C42FEA" w:rsidP="00DC75CA">
      <w:pPr>
        <w:rPr>
          <w:rFonts w:ascii="Seaford" w:hAnsi="Seaford"/>
          <w:sz w:val="22"/>
          <w:szCs w:val="22"/>
          <w:lang w:val="en-GB"/>
        </w:rPr>
      </w:pPr>
      <w:r w:rsidRPr="00DC75CA">
        <w:rPr>
          <w:rFonts w:ascii="Seaford" w:hAnsi="Seaford"/>
          <w:sz w:val="22"/>
          <w:szCs w:val="22"/>
          <w:lang w:val="en-GB"/>
        </w:rPr>
        <w:t>The Electricity Retailers Association of New Zealand (‘ERANZ’) welcomes the opportunity to provide feedback on the Electricity Authority’s discussion document ‘Improving the framework for the Authority</w:t>
      </w:r>
      <w:r w:rsidR="00323906">
        <w:rPr>
          <w:rFonts w:ascii="Seaford" w:hAnsi="Seaford"/>
          <w:sz w:val="22"/>
          <w:szCs w:val="22"/>
          <w:lang w:val="en-GB"/>
        </w:rPr>
        <w:t>’</w:t>
      </w:r>
      <w:r w:rsidRPr="00DC75CA">
        <w:rPr>
          <w:rFonts w:ascii="Seaford" w:hAnsi="Seaford"/>
          <w:sz w:val="22"/>
          <w:szCs w:val="22"/>
          <w:lang w:val="en-GB"/>
        </w:rPr>
        <w:t>s information gathering</w:t>
      </w:r>
      <w:r w:rsidR="00323906">
        <w:rPr>
          <w:rFonts w:ascii="Seaford" w:hAnsi="Seaford"/>
          <w:sz w:val="22"/>
          <w:szCs w:val="22"/>
          <w:lang w:val="en-GB"/>
        </w:rPr>
        <w:t>’</w:t>
      </w:r>
      <w:r w:rsidRPr="00DC75CA">
        <w:rPr>
          <w:rFonts w:ascii="Seaford" w:hAnsi="Seaford"/>
          <w:sz w:val="22"/>
          <w:szCs w:val="22"/>
          <w:lang w:val="en-GB"/>
        </w:rPr>
        <w:t xml:space="preserve"> of July 2021.</w:t>
      </w:r>
    </w:p>
    <w:p w14:paraId="1558A06B" w14:textId="77777777" w:rsidR="00C42FEA" w:rsidRPr="00DC75CA" w:rsidRDefault="00C42FEA" w:rsidP="00DC75CA">
      <w:pPr>
        <w:rPr>
          <w:rFonts w:ascii="Seaford" w:hAnsi="Seaford"/>
          <w:sz w:val="22"/>
          <w:szCs w:val="22"/>
          <w:lang w:val="en-GB"/>
        </w:rPr>
      </w:pPr>
    </w:p>
    <w:p w14:paraId="040ED3A9" w14:textId="5B0D15F3" w:rsidR="00C42FEA" w:rsidRDefault="00C42FEA" w:rsidP="00DC75CA">
      <w:pPr>
        <w:rPr>
          <w:rFonts w:ascii="Seaford" w:hAnsi="Seaford"/>
          <w:sz w:val="22"/>
          <w:szCs w:val="22"/>
          <w:lang w:val="en-GB"/>
        </w:rPr>
      </w:pPr>
      <w:r w:rsidRPr="00DC75CA">
        <w:rPr>
          <w:rFonts w:ascii="Seaford" w:hAnsi="Seaford"/>
          <w:sz w:val="22"/>
          <w:szCs w:val="22"/>
          <w:lang w:val="en-GB"/>
        </w:rPr>
        <w:t>ERANZ is the industry association representing companies that sell electricity to kiwi households and businesses. Our members supply over 90 per cent of New Zealand’s electricity. We work for a competitive, fair, and sustainable electricity market that benefits consumers.</w:t>
      </w:r>
    </w:p>
    <w:p w14:paraId="200FF754" w14:textId="77777777" w:rsidR="00363FDD" w:rsidRDefault="00363FDD" w:rsidP="00DC75CA">
      <w:pPr>
        <w:rPr>
          <w:rFonts w:ascii="Seaford" w:hAnsi="Seaford"/>
          <w:sz w:val="22"/>
          <w:szCs w:val="22"/>
          <w:lang w:val="en-GB"/>
        </w:rPr>
      </w:pPr>
    </w:p>
    <w:p w14:paraId="54C99414" w14:textId="3E8C68F8" w:rsidR="0063389A" w:rsidRDefault="00363FDD" w:rsidP="00DC75CA">
      <w:pPr>
        <w:rPr>
          <w:rFonts w:ascii="Seaford" w:hAnsi="Seaford"/>
          <w:sz w:val="22"/>
          <w:szCs w:val="22"/>
          <w:lang w:val="en-GB"/>
        </w:rPr>
      </w:pPr>
      <w:r>
        <w:rPr>
          <w:rFonts w:ascii="Seaford" w:hAnsi="Seaford"/>
          <w:sz w:val="22"/>
          <w:szCs w:val="22"/>
          <w:lang w:val="en-GB"/>
        </w:rPr>
        <w:t>ERANZ agrees with the goals the Authority is trying to achieve in this consultation. The electricity industry’s increasing complexity and technological innovation requires the Authority constantly to review and analyse whether its regulations remain fit-for-purpose. Having comprehensive information to perform this task is supported by our retailers.</w:t>
      </w:r>
    </w:p>
    <w:p w14:paraId="6B7659EE" w14:textId="77777777" w:rsidR="00363FDD" w:rsidRPr="00DC75CA" w:rsidRDefault="00363FDD" w:rsidP="00DC75CA">
      <w:pPr>
        <w:rPr>
          <w:rFonts w:ascii="Seaford" w:hAnsi="Seaford"/>
          <w:sz w:val="22"/>
          <w:szCs w:val="22"/>
          <w:lang w:val="en-GB"/>
        </w:rPr>
      </w:pPr>
    </w:p>
    <w:p w14:paraId="4294A6DF" w14:textId="77777777" w:rsidR="00363FDD" w:rsidRDefault="0063389A" w:rsidP="00DC75CA">
      <w:pPr>
        <w:rPr>
          <w:rFonts w:ascii="Seaford" w:hAnsi="Seaford"/>
          <w:sz w:val="22"/>
          <w:szCs w:val="22"/>
          <w:lang w:val="en-GB"/>
        </w:rPr>
      </w:pPr>
      <w:r>
        <w:rPr>
          <w:rFonts w:ascii="Seaford" w:hAnsi="Seaford"/>
          <w:sz w:val="22"/>
          <w:szCs w:val="22"/>
          <w:lang w:val="en-GB"/>
        </w:rPr>
        <w:t>ERANZ’s</w:t>
      </w:r>
      <w:r w:rsidRPr="00DC75CA">
        <w:rPr>
          <w:rFonts w:ascii="Seaford" w:hAnsi="Seaford"/>
          <w:sz w:val="22"/>
          <w:szCs w:val="22"/>
          <w:lang w:val="en-GB"/>
        </w:rPr>
        <w:t xml:space="preserve"> three priority areas are efficient energy markets, addressing consumer hardship, and implementing a low-carbon energy future. These priority areas align well with the Authority’s objectives</w:t>
      </w:r>
      <w:r w:rsidR="00DD3EE6">
        <w:rPr>
          <w:rFonts w:ascii="Seaford" w:hAnsi="Seaford"/>
          <w:sz w:val="22"/>
          <w:szCs w:val="22"/>
          <w:lang w:val="en-GB"/>
        </w:rPr>
        <w:t xml:space="preserve"> </w:t>
      </w:r>
      <w:r w:rsidR="00786508" w:rsidRPr="00DC75CA">
        <w:rPr>
          <w:rFonts w:ascii="Seaford" w:hAnsi="Seaford"/>
          <w:sz w:val="22"/>
          <w:szCs w:val="22"/>
          <w:lang w:val="en-GB"/>
        </w:rPr>
        <w:t xml:space="preserve">to better understand and analyse the performance of </w:t>
      </w:r>
      <w:r w:rsidR="00104EF4">
        <w:rPr>
          <w:rFonts w:ascii="Seaford" w:hAnsi="Seaford"/>
          <w:sz w:val="22"/>
          <w:szCs w:val="22"/>
          <w:lang w:val="en-GB"/>
        </w:rPr>
        <w:t>our</w:t>
      </w:r>
      <w:r w:rsidR="00786508" w:rsidRPr="00DC75CA">
        <w:rPr>
          <w:rFonts w:ascii="Seaford" w:hAnsi="Seaford"/>
          <w:sz w:val="22"/>
          <w:szCs w:val="22"/>
          <w:lang w:val="en-GB"/>
        </w:rPr>
        <w:t xml:space="preserve"> electricity market. Timely access to data is a core part of the Authority performing this function well. </w:t>
      </w:r>
    </w:p>
    <w:p w14:paraId="388964AB" w14:textId="77777777" w:rsidR="00363FDD" w:rsidRDefault="00363FDD" w:rsidP="00DC75CA">
      <w:pPr>
        <w:rPr>
          <w:rFonts w:ascii="Seaford" w:hAnsi="Seaford"/>
          <w:sz w:val="22"/>
          <w:szCs w:val="22"/>
          <w:lang w:val="en-GB"/>
        </w:rPr>
      </w:pPr>
    </w:p>
    <w:p w14:paraId="03DA35DB" w14:textId="3D7175B8" w:rsidR="00E73A82" w:rsidRDefault="00786508" w:rsidP="00DC75CA">
      <w:pPr>
        <w:rPr>
          <w:rFonts w:ascii="Seaford" w:hAnsi="Seaford"/>
          <w:sz w:val="22"/>
          <w:szCs w:val="22"/>
          <w:lang w:val="en-GB"/>
        </w:rPr>
      </w:pPr>
      <w:r w:rsidRPr="00DC75CA">
        <w:rPr>
          <w:rFonts w:ascii="Seaford" w:hAnsi="Seaford"/>
          <w:sz w:val="22"/>
          <w:szCs w:val="22"/>
          <w:lang w:val="en-GB"/>
        </w:rPr>
        <w:t>As well as improving the Authority’s decision-making process, we expect th</w:t>
      </w:r>
      <w:r w:rsidR="00363FDD">
        <w:rPr>
          <w:rFonts w:ascii="Seaford" w:hAnsi="Seaford"/>
          <w:sz w:val="22"/>
          <w:szCs w:val="22"/>
          <w:lang w:val="en-GB"/>
        </w:rPr>
        <w:t xml:space="preserve">at access to additional data will better allow the </w:t>
      </w:r>
      <w:r w:rsidRPr="00DC75CA">
        <w:rPr>
          <w:rFonts w:ascii="Seaford" w:hAnsi="Seaford"/>
          <w:sz w:val="22"/>
          <w:szCs w:val="22"/>
          <w:lang w:val="en-GB"/>
        </w:rPr>
        <w:t xml:space="preserve">Authority </w:t>
      </w:r>
      <w:r w:rsidR="00363FDD">
        <w:rPr>
          <w:rFonts w:ascii="Seaford" w:hAnsi="Seaford"/>
          <w:sz w:val="22"/>
          <w:szCs w:val="22"/>
          <w:lang w:val="en-GB"/>
        </w:rPr>
        <w:t>to</w:t>
      </w:r>
      <w:r w:rsidRPr="00DC75CA">
        <w:rPr>
          <w:rFonts w:ascii="Seaford" w:hAnsi="Seaford"/>
          <w:sz w:val="22"/>
          <w:szCs w:val="22"/>
          <w:lang w:val="en-GB"/>
        </w:rPr>
        <w:t xml:space="preserve"> communicate the performance of the market to political leaders and key stakeholders.</w:t>
      </w:r>
    </w:p>
    <w:p w14:paraId="3F3C3AB8" w14:textId="5A37A031" w:rsidR="00786508" w:rsidRDefault="00786508" w:rsidP="00DC75CA">
      <w:pPr>
        <w:rPr>
          <w:rFonts w:ascii="Seaford" w:hAnsi="Seaford"/>
          <w:sz w:val="22"/>
          <w:szCs w:val="22"/>
          <w:lang w:val="en-GB"/>
        </w:rPr>
      </w:pPr>
    </w:p>
    <w:p w14:paraId="251C4E98" w14:textId="7A7C4C77" w:rsidR="00786508" w:rsidRPr="00786508" w:rsidRDefault="00106D31" w:rsidP="009F5C2B">
      <w:pPr>
        <w:rPr>
          <w:rFonts w:ascii="Seaford" w:hAnsi="Seaford"/>
          <w:sz w:val="22"/>
          <w:szCs w:val="22"/>
          <w:lang w:val="en-GB"/>
        </w:rPr>
      </w:pPr>
      <w:r>
        <w:rPr>
          <w:rFonts w:ascii="Seaford" w:hAnsi="Seaford"/>
          <w:sz w:val="22"/>
          <w:szCs w:val="22"/>
          <w:lang w:val="en-GB"/>
        </w:rPr>
        <w:t>T</w:t>
      </w:r>
      <w:r w:rsidR="000C0D94">
        <w:rPr>
          <w:rFonts w:ascii="Seaford" w:hAnsi="Seaford"/>
          <w:sz w:val="22"/>
          <w:szCs w:val="22"/>
          <w:lang w:val="en-GB"/>
        </w:rPr>
        <w:t xml:space="preserve">he Authority </w:t>
      </w:r>
      <w:r w:rsidR="00670A7C">
        <w:rPr>
          <w:rFonts w:ascii="Seaford" w:hAnsi="Seaford"/>
          <w:sz w:val="22"/>
          <w:szCs w:val="22"/>
          <w:lang w:val="en-GB"/>
        </w:rPr>
        <w:t xml:space="preserve">has existing </w:t>
      </w:r>
      <w:r w:rsidR="00510AAF" w:rsidRPr="00510AAF">
        <w:rPr>
          <w:rFonts w:ascii="Seaford" w:hAnsi="Seaford"/>
          <w:sz w:val="22"/>
          <w:szCs w:val="22"/>
          <w:lang w:val="en-GB"/>
        </w:rPr>
        <w:t>information gathering powers under section 46 of the</w:t>
      </w:r>
      <w:r w:rsidR="00636E54">
        <w:rPr>
          <w:rFonts w:ascii="Seaford" w:hAnsi="Seaford"/>
          <w:sz w:val="22"/>
          <w:szCs w:val="22"/>
          <w:lang w:val="en-GB"/>
        </w:rPr>
        <w:t xml:space="preserve"> </w:t>
      </w:r>
      <w:r w:rsidR="00636E54" w:rsidRPr="00636E54">
        <w:rPr>
          <w:rFonts w:ascii="Seaford" w:hAnsi="Seaford"/>
          <w:sz w:val="22"/>
          <w:szCs w:val="22"/>
          <w:lang w:val="en-GB"/>
        </w:rPr>
        <w:t>Electricity Industry Act 2010</w:t>
      </w:r>
      <w:r w:rsidR="00636E54">
        <w:rPr>
          <w:rFonts w:ascii="Seaford" w:hAnsi="Seaford"/>
          <w:sz w:val="22"/>
          <w:szCs w:val="22"/>
          <w:lang w:val="en-GB"/>
        </w:rPr>
        <w:t>.</w:t>
      </w:r>
      <w:r>
        <w:rPr>
          <w:rFonts w:ascii="Seaford" w:hAnsi="Seaford"/>
          <w:sz w:val="22"/>
          <w:szCs w:val="22"/>
          <w:lang w:val="en-GB"/>
        </w:rPr>
        <w:t xml:space="preserve"> We </w:t>
      </w:r>
      <w:r w:rsidR="00D97A42">
        <w:rPr>
          <w:rFonts w:ascii="Seaford" w:hAnsi="Seaford"/>
          <w:sz w:val="22"/>
          <w:szCs w:val="22"/>
          <w:lang w:val="en-GB"/>
        </w:rPr>
        <w:t>believe</w:t>
      </w:r>
      <w:r>
        <w:rPr>
          <w:rFonts w:ascii="Seaford" w:hAnsi="Seaford"/>
          <w:sz w:val="22"/>
          <w:szCs w:val="22"/>
          <w:lang w:val="en-GB"/>
        </w:rPr>
        <w:t xml:space="preserve"> </w:t>
      </w:r>
      <w:r w:rsidR="00243270">
        <w:rPr>
          <w:rFonts w:ascii="Seaford" w:hAnsi="Seaford"/>
          <w:sz w:val="22"/>
          <w:szCs w:val="22"/>
          <w:lang w:val="en-GB"/>
        </w:rPr>
        <w:t xml:space="preserve">the </w:t>
      </w:r>
      <w:r w:rsidR="00243270" w:rsidRPr="00DC75CA">
        <w:rPr>
          <w:rFonts w:ascii="Seaford" w:hAnsi="Seaford"/>
          <w:sz w:val="22"/>
          <w:szCs w:val="22"/>
          <w:lang w:val="en-GB"/>
        </w:rPr>
        <w:t xml:space="preserve">proposals to streamline and improve information gathering </w:t>
      </w:r>
      <w:r>
        <w:rPr>
          <w:rFonts w:ascii="Seaford" w:hAnsi="Seaford"/>
          <w:sz w:val="22"/>
          <w:szCs w:val="22"/>
          <w:lang w:val="en-GB"/>
        </w:rPr>
        <w:t xml:space="preserve">under the Authority’s “preferred </w:t>
      </w:r>
      <w:r w:rsidR="00CE267F">
        <w:rPr>
          <w:rFonts w:ascii="Seaford" w:hAnsi="Seaford"/>
          <w:sz w:val="22"/>
          <w:szCs w:val="22"/>
          <w:lang w:val="en-GB"/>
        </w:rPr>
        <w:t>amendment”</w:t>
      </w:r>
      <w:r w:rsidR="0050563A">
        <w:rPr>
          <w:rFonts w:ascii="Seaford" w:hAnsi="Seaford"/>
          <w:sz w:val="22"/>
          <w:szCs w:val="22"/>
          <w:lang w:val="en-GB"/>
        </w:rPr>
        <w:t xml:space="preserve"> are laudable. However, it does not </w:t>
      </w:r>
      <w:r w:rsidR="009936F6">
        <w:rPr>
          <w:rFonts w:ascii="Seaford" w:hAnsi="Seaford"/>
          <w:sz w:val="22"/>
          <w:szCs w:val="22"/>
          <w:lang w:val="en-GB"/>
        </w:rPr>
        <w:t xml:space="preserve">necessarily </w:t>
      </w:r>
      <w:r w:rsidR="0050563A">
        <w:rPr>
          <w:rFonts w:ascii="Seaford" w:hAnsi="Seaford"/>
          <w:sz w:val="22"/>
          <w:szCs w:val="22"/>
          <w:lang w:val="en-GB"/>
        </w:rPr>
        <w:t xml:space="preserve">follow that </w:t>
      </w:r>
      <w:r w:rsidR="00A94143">
        <w:rPr>
          <w:rFonts w:ascii="Seaford" w:hAnsi="Seaford"/>
          <w:sz w:val="22"/>
          <w:szCs w:val="22"/>
          <w:lang w:val="en-GB"/>
        </w:rPr>
        <w:t xml:space="preserve">such improvements require establishing a new information gathering framework </w:t>
      </w:r>
      <w:r w:rsidR="00A94143">
        <w:rPr>
          <w:rFonts w:ascii="Seaford" w:hAnsi="Seaford"/>
          <w:sz w:val="22"/>
          <w:szCs w:val="22"/>
          <w:lang w:val="en-GB"/>
        </w:rPr>
        <w:lastRenderedPageBreak/>
        <w:t xml:space="preserve">to realise them. </w:t>
      </w:r>
      <w:r w:rsidR="00786508" w:rsidRPr="00786508">
        <w:rPr>
          <w:rFonts w:ascii="Seaford" w:hAnsi="Seaford"/>
          <w:sz w:val="22"/>
          <w:szCs w:val="22"/>
          <w:lang w:val="en-GB"/>
        </w:rPr>
        <w:t xml:space="preserve">For example, </w:t>
      </w:r>
      <w:r w:rsidR="00C41A37">
        <w:rPr>
          <w:rFonts w:ascii="Seaford" w:hAnsi="Seaford"/>
          <w:sz w:val="22"/>
          <w:szCs w:val="22"/>
          <w:lang w:val="en-GB"/>
        </w:rPr>
        <w:t>the Authority</w:t>
      </w:r>
      <w:r w:rsidR="00D97A42">
        <w:rPr>
          <w:rFonts w:ascii="Seaford" w:hAnsi="Seaford"/>
          <w:sz w:val="22"/>
          <w:szCs w:val="22"/>
          <w:lang w:val="en-GB"/>
        </w:rPr>
        <w:t xml:space="preserve"> can improve its </w:t>
      </w:r>
      <w:r w:rsidR="00C41A37">
        <w:rPr>
          <w:rFonts w:ascii="Seaford" w:hAnsi="Seaford"/>
          <w:sz w:val="22"/>
          <w:szCs w:val="22"/>
          <w:lang w:val="en-GB"/>
        </w:rPr>
        <w:t>information</w:t>
      </w:r>
      <w:r w:rsidR="00786508" w:rsidRPr="00786508">
        <w:rPr>
          <w:rFonts w:ascii="Seaford" w:hAnsi="Seaford"/>
          <w:sz w:val="22"/>
          <w:szCs w:val="22"/>
          <w:lang w:val="en-GB"/>
        </w:rPr>
        <w:t xml:space="preserve"> gathering powers with </w:t>
      </w:r>
      <w:r w:rsidR="00297DAA">
        <w:rPr>
          <w:rFonts w:ascii="Seaford" w:hAnsi="Seaford"/>
          <w:sz w:val="22"/>
          <w:szCs w:val="22"/>
          <w:lang w:val="en-GB"/>
        </w:rPr>
        <w:t>more precise</w:t>
      </w:r>
      <w:r w:rsidR="00786508" w:rsidRPr="00786508">
        <w:rPr>
          <w:rFonts w:ascii="Seaford" w:hAnsi="Seaford"/>
          <w:sz w:val="22"/>
          <w:szCs w:val="22"/>
          <w:lang w:val="en-GB"/>
        </w:rPr>
        <w:t xml:space="preserve"> notices, </w:t>
      </w:r>
      <w:r w:rsidR="007E070C">
        <w:rPr>
          <w:rFonts w:ascii="Seaford" w:hAnsi="Seaford"/>
          <w:sz w:val="22"/>
          <w:szCs w:val="22"/>
          <w:lang w:val="en-GB"/>
        </w:rPr>
        <w:t>constructive</w:t>
      </w:r>
      <w:r w:rsidR="00297DAA">
        <w:rPr>
          <w:rFonts w:ascii="Seaford" w:hAnsi="Seaford"/>
          <w:sz w:val="22"/>
          <w:szCs w:val="22"/>
          <w:lang w:val="en-GB"/>
        </w:rPr>
        <w:t xml:space="preserve"> </w:t>
      </w:r>
      <w:r w:rsidR="00786508" w:rsidRPr="00786508">
        <w:rPr>
          <w:rFonts w:ascii="Seaford" w:hAnsi="Seaford"/>
          <w:sz w:val="22"/>
          <w:szCs w:val="22"/>
          <w:lang w:val="en-GB"/>
        </w:rPr>
        <w:t>industry consultation, and clearer guidance</w:t>
      </w:r>
      <w:r w:rsidR="00594C89">
        <w:rPr>
          <w:rFonts w:ascii="Seaford" w:hAnsi="Seaford"/>
          <w:sz w:val="22"/>
          <w:szCs w:val="22"/>
          <w:lang w:val="en-GB"/>
        </w:rPr>
        <w:t>.</w:t>
      </w:r>
    </w:p>
    <w:p w14:paraId="5B0497A1" w14:textId="77777777" w:rsidR="007E070C" w:rsidRDefault="007E070C" w:rsidP="00786508">
      <w:pPr>
        <w:rPr>
          <w:rFonts w:ascii="Seaford" w:hAnsi="Seaford"/>
          <w:sz w:val="22"/>
          <w:szCs w:val="22"/>
          <w:lang w:val="en-GB"/>
        </w:rPr>
      </w:pPr>
    </w:p>
    <w:p w14:paraId="0153C055" w14:textId="3AD92D92" w:rsidR="00386EBE" w:rsidRDefault="00786508" w:rsidP="00DC75CA">
      <w:pPr>
        <w:rPr>
          <w:rFonts w:ascii="Seaford" w:hAnsi="Seaford"/>
          <w:sz w:val="22"/>
          <w:szCs w:val="22"/>
          <w:lang w:val="en-GB"/>
        </w:rPr>
      </w:pPr>
      <w:r w:rsidRPr="00786508">
        <w:rPr>
          <w:rFonts w:ascii="Seaford" w:hAnsi="Seaford"/>
          <w:sz w:val="22"/>
          <w:szCs w:val="22"/>
          <w:lang w:val="en-GB"/>
        </w:rPr>
        <w:t xml:space="preserve">Therefore, ERANZ supports </w:t>
      </w:r>
      <w:r w:rsidR="000B7881">
        <w:rPr>
          <w:rFonts w:ascii="Seaford" w:hAnsi="Seaford"/>
          <w:sz w:val="22"/>
          <w:szCs w:val="22"/>
          <w:lang w:val="en-GB"/>
        </w:rPr>
        <w:t>the Authority</w:t>
      </w:r>
      <w:r w:rsidRPr="00786508">
        <w:rPr>
          <w:rFonts w:ascii="Seaford" w:hAnsi="Seaford"/>
          <w:sz w:val="22"/>
          <w:szCs w:val="22"/>
          <w:lang w:val="en-GB"/>
        </w:rPr>
        <w:t xml:space="preserve"> using more data in its decision-making</w:t>
      </w:r>
      <w:r w:rsidR="000B7881">
        <w:rPr>
          <w:rFonts w:ascii="Seaford" w:hAnsi="Seaford"/>
          <w:sz w:val="22"/>
          <w:szCs w:val="22"/>
          <w:lang w:val="en-GB"/>
        </w:rPr>
        <w:t xml:space="preserve"> by </w:t>
      </w:r>
      <w:r w:rsidR="00BF7CE3">
        <w:rPr>
          <w:rFonts w:ascii="Seaford" w:hAnsi="Seaford"/>
          <w:sz w:val="22"/>
          <w:szCs w:val="22"/>
          <w:lang w:val="en-GB"/>
        </w:rPr>
        <w:t>looking to</w:t>
      </w:r>
      <w:r w:rsidR="009936F6">
        <w:rPr>
          <w:rFonts w:ascii="Seaford" w:hAnsi="Seaford"/>
          <w:sz w:val="22"/>
          <w:szCs w:val="22"/>
          <w:lang w:val="en-GB"/>
        </w:rPr>
        <w:t xml:space="preserve"> its</w:t>
      </w:r>
      <w:r w:rsidR="000B7881">
        <w:rPr>
          <w:rFonts w:ascii="Seaford" w:hAnsi="Seaford"/>
          <w:sz w:val="22"/>
          <w:szCs w:val="22"/>
          <w:lang w:val="en-GB"/>
        </w:rPr>
        <w:t xml:space="preserve"> “Option 2</w:t>
      </w:r>
      <w:r w:rsidR="00586A6C">
        <w:rPr>
          <w:rFonts w:ascii="Seaford" w:hAnsi="Seaford"/>
          <w:sz w:val="22"/>
          <w:szCs w:val="22"/>
          <w:lang w:val="en-GB"/>
        </w:rPr>
        <w:t xml:space="preserve">” and </w:t>
      </w:r>
      <w:r w:rsidRPr="00786508">
        <w:rPr>
          <w:rFonts w:ascii="Seaford" w:hAnsi="Seaford"/>
          <w:sz w:val="22"/>
          <w:szCs w:val="22"/>
          <w:lang w:val="en-GB"/>
        </w:rPr>
        <w:t xml:space="preserve">optimising </w:t>
      </w:r>
      <w:r w:rsidR="00586A6C">
        <w:rPr>
          <w:rFonts w:ascii="Seaford" w:hAnsi="Seaford"/>
          <w:sz w:val="22"/>
          <w:szCs w:val="22"/>
          <w:lang w:val="en-GB"/>
        </w:rPr>
        <w:t xml:space="preserve">section </w:t>
      </w:r>
      <w:r w:rsidRPr="00786508">
        <w:rPr>
          <w:rFonts w:ascii="Seaford" w:hAnsi="Seaford"/>
          <w:sz w:val="22"/>
          <w:szCs w:val="22"/>
          <w:lang w:val="en-GB"/>
        </w:rPr>
        <w:t>46 notices</w:t>
      </w:r>
      <w:r w:rsidR="00586A6C">
        <w:rPr>
          <w:rFonts w:ascii="Seaford" w:hAnsi="Seaford"/>
          <w:sz w:val="22"/>
          <w:szCs w:val="22"/>
          <w:lang w:val="en-GB"/>
        </w:rPr>
        <w:t xml:space="preserve"> </w:t>
      </w:r>
      <w:r w:rsidR="00C03638">
        <w:rPr>
          <w:rFonts w:ascii="Seaford" w:hAnsi="Seaford"/>
          <w:sz w:val="22"/>
          <w:szCs w:val="22"/>
          <w:lang w:val="en-GB"/>
        </w:rPr>
        <w:t xml:space="preserve">to </w:t>
      </w:r>
      <w:r w:rsidR="00586A6C">
        <w:rPr>
          <w:rFonts w:ascii="Seaford" w:hAnsi="Seaford"/>
          <w:sz w:val="22"/>
          <w:szCs w:val="22"/>
          <w:lang w:val="en-GB"/>
        </w:rPr>
        <w:t>achieve it</w:t>
      </w:r>
      <w:r w:rsidR="00386EBE">
        <w:rPr>
          <w:rFonts w:ascii="Seaford" w:hAnsi="Seaford"/>
          <w:sz w:val="22"/>
          <w:szCs w:val="22"/>
          <w:lang w:val="en-GB"/>
        </w:rPr>
        <w:t xml:space="preserve">s objectives. </w:t>
      </w:r>
    </w:p>
    <w:p w14:paraId="58D60C1A" w14:textId="77777777" w:rsidR="00386EBE" w:rsidRDefault="00386EBE" w:rsidP="00DC75CA">
      <w:pPr>
        <w:rPr>
          <w:rFonts w:ascii="Seaford" w:hAnsi="Seaford"/>
          <w:sz w:val="22"/>
          <w:szCs w:val="22"/>
          <w:lang w:val="en-GB"/>
        </w:rPr>
      </w:pPr>
    </w:p>
    <w:p w14:paraId="69356DA0" w14:textId="05062C16" w:rsidR="00DC75CA" w:rsidRPr="00DC75CA" w:rsidRDefault="00DC75CA" w:rsidP="00DC75CA">
      <w:pPr>
        <w:rPr>
          <w:rFonts w:ascii="Seaford" w:hAnsi="Seaford"/>
          <w:sz w:val="22"/>
          <w:szCs w:val="22"/>
          <w:lang w:val="en-GB"/>
        </w:rPr>
      </w:pPr>
      <w:r>
        <w:rPr>
          <w:rFonts w:ascii="Seaford" w:hAnsi="Seaford"/>
          <w:sz w:val="22"/>
          <w:szCs w:val="22"/>
          <w:lang w:val="en-GB"/>
        </w:rPr>
        <w:t>We are available to discuss our submission further if required.</w:t>
      </w:r>
    </w:p>
    <w:p w14:paraId="74823688" w14:textId="4272F8A4" w:rsidR="00DC75CA" w:rsidRPr="00DC75CA" w:rsidRDefault="00DC75CA" w:rsidP="00DC75CA">
      <w:pPr>
        <w:rPr>
          <w:rFonts w:ascii="Seaford" w:hAnsi="Seaford"/>
          <w:sz w:val="22"/>
          <w:szCs w:val="22"/>
          <w:lang w:val="en-GB"/>
        </w:rPr>
      </w:pPr>
    </w:p>
    <w:p w14:paraId="2FE13C1C" w14:textId="55C2B3C8" w:rsidR="00DC75CA" w:rsidRDefault="00DC75CA" w:rsidP="00DC75CA">
      <w:pPr>
        <w:rPr>
          <w:rFonts w:ascii="Seaford" w:hAnsi="Seaford"/>
          <w:sz w:val="22"/>
          <w:szCs w:val="22"/>
          <w:lang w:val="en-GB"/>
        </w:rPr>
      </w:pPr>
      <w:r w:rsidRPr="00DC75CA">
        <w:rPr>
          <w:rFonts w:ascii="Seaford" w:hAnsi="Seaford"/>
          <w:sz w:val="22"/>
          <w:szCs w:val="22"/>
          <w:lang w:val="en-GB"/>
        </w:rPr>
        <w:t>Yours sincerely</w:t>
      </w:r>
    </w:p>
    <w:p w14:paraId="2977EB54" w14:textId="77777777" w:rsidR="00D106D9" w:rsidRPr="00DC75CA" w:rsidRDefault="00D106D9" w:rsidP="00DC75CA">
      <w:pPr>
        <w:rPr>
          <w:rFonts w:ascii="Seaford" w:hAnsi="Seaford"/>
          <w:sz w:val="22"/>
          <w:szCs w:val="22"/>
          <w:lang w:val="en-GB"/>
        </w:rPr>
      </w:pPr>
    </w:p>
    <w:p w14:paraId="0848B64E" w14:textId="788BD007" w:rsidR="00DC75CA" w:rsidRDefault="00DC75CA" w:rsidP="00DC75CA">
      <w:pPr>
        <w:rPr>
          <w:rFonts w:ascii="Seaford" w:hAnsi="Seaford"/>
          <w:sz w:val="22"/>
          <w:szCs w:val="22"/>
          <w:lang w:val="en-GB"/>
        </w:rPr>
      </w:pPr>
      <w:r w:rsidRPr="00DC75CA">
        <w:rPr>
          <w:noProof/>
          <w:sz w:val="22"/>
          <w:szCs w:val="22"/>
        </w:rPr>
        <w:drawing>
          <wp:inline distT="0" distB="0" distL="0" distR="0" wp14:anchorId="37E3BBA5" wp14:editId="36A28DB9">
            <wp:extent cx="2300565" cy="9334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s signature.png"/>
                    <pic:cNvPicPr/>
                  </pic:nvPicPr>
                  <pic:blipFill>
                    <a:blip r:embed="rId10"/>
                    <a:stretch>
                      <a:fillRect/>
                    </a:stretch>
                  </pic:blipFill>
                  <pic:spPr>
                    <a:xfrm>
                      <a:off x="0" y="0"/>
                      <a:ext cx="2313635" cy="938753"/>
                    </a:xfrm>
                    <a:prstGeom prst="rect">
                      <a:avLst/>
                    </a:prstGeom>
                  </pic:spPr>
                </pic:pic>
              </a:graphicData>
            </a:graphic>
          </wp:inline>
        </w:drawing>
      </w:r>
    </w:p>
    <w:p w14:paraId="26B88692" w14:textId="77777777" w:rsidR="00D106D9" w:rsidRPr="00DC75CA" w:rsidRDefault="00D106D9" w:rsidP="00DC75CA">
      <w:pPr>
        <w:rPr>
          <w:rFonts w:ascii="Seaford" w:hAnsi="Seaford"/>
          <w:sz w:val="22"/>
          <w:szCs w:val="22"/>
          <w:lang w:val="en-GB"/>
        </w:rPr>
      </w:pPr>
    </w:p>
    <w:p w14:paraId="315FCF75" w14:textId="15B365F0" w:rsidR="00DC75CA" w:rsidRPr="00DC75CA" w:rsidRDefault="00DC75CA" w:rsidP="00DC75CA">
      <w:pPr>
        <w:rPr>
          <w:rFonts w:ascii="Seaford" w:hAnsi="Seaford"/>
          <w:b/>
          <w:bCs/>
          <w:sz w:val="22"/>
          <w:szCs w:val="22"/>
          <w:lang w:val="en-GB"/>
        </w:rPr>
      </w:pPr>
      <w:r w:rsidRPr="00DC75CA">
        <w:rPr>
          <w:rFonts w:ascii="Seaford" w:hAnsi="Seaford"/>
          <w:b/>
          <w:bCs/>
          <w:sz w:val="22"/>
          <w:szCs w:val="22"/>
          <w:lang w:val="en-GB"/>
        </w:rPr>
        <w:t>Cameron Burrows</w:t>
      </w:r>
    </w:p>
    <w:p w14:paraId="1E5A7823" w14:textId="61C6E8DA" w:rsidR="00DC75CA" w:rsidRDefault="00DC75CA" w:rsidP="00DC75CA">
      <w:pPr>
        <w:rPr>
          <w:rFonts w:ascii="Seaford" w:hAnsi="Seaford"/>
          <w:sz w:val="22"/>
          <w:szCs w:val="22"/>
          <w:lang w:val="en-GB"/>
        </w:rPr>
      </w:pPr>
      <w:r w:rsidRPr="00DC75CA">
        <w:rPr>
          <w:rFonts w:ascii="Seaford" w:hAnsi="Seaford"/>
          <w:sz w:val="22"/>
          <w:szCs w:val="22"/>
          <w:lang w:val="en-GB"/>
        </w:rPr>
        <w:t>Chief Executive</w:t>
      </w:r>
    </w:p>
    <w:p w14:paraId="0DDE833C" w14:textId="77777777" w:rsidR="00764BEA" w:rsidRDefault="00764BEA" w:rsidP="00DC75CA">
      <w:pPr>
        <w:rPr>
          <w:rFonts w:ascii="Seaford" w:hAnsi="Seaford"/>
          <w:b/>
          <w:bCs/>
          <w:sz w:val="22"/>
          <w:szCs w:val="22"/>
          <w:lang w:val="en-GB"/>
        </w:rPr>
      </w:pPr>
    </w:p>
    <w:p w14:paraId="10FB1EFE" w14:textId="77777777" w:rsidR="00764BEA" w:rsidRDefault="00764BEA">
      <w:pPr>
        <w:rPr>
          <w:rFonts w:ascii="Seaford" w:hAnsi="Seaford"/>
          <w:b/>
          <w:bCs/>
          <w:sz w:val="22"/>
          <w:szCs w:val="22"/>
          <w:lang w:val="en-GB"/>
        </w:rPr>
      </w:pPr>
      <w:r>
        <w:rPr>
          <w:rFonts w:ascii="Seaford" w:hAnsi="Seaford"/>
          <w:b/>
          <w:bCs/>
          <w:sz w:val="22"/>
          <w:szCs w:val="22"/>
          <w:lang w:val="en-GB"/>
        </w:rPr>
        <w:br w:type="page"/>
      </w:r>
    </w:p>
    <w:p w14:paraId="24F9389A" w14:textId="77777777" w:rsidR="00764BEA" w:rsidRDefault="00764BEA" w:rsidP="00DC75CA">
      <w:pPr>
        <w:rPr>
          <w:rFonts w:ascii="Seaford" w:hAnsi="Seaford"/>
          <w:b/>
          <w:bCs/>
          <w:sz w:val="22"/>
          <w:szCs w:val="22"/>
          <w:lang w:val="en-GB"/>
        </w:rPr>
      </w:pPr>
    </w:p>
    <w:p w14:paraId="26DFEB88" w14:textId="0CB0B822" w:rsidR="00DC75CA" w:rsidRPr="00DE74D0" w:rsidRDefault="00DE74D0" w:rsidP="00DC75CA">
      <w:pPr>
        <w:rPr>
          <w:rFonts w:ascii="Seaford" w:hAnsi="Seaford"/>
          <w:b/>
          <w:bCs/>
          <w:sz w:val="22"/>
          <w:szCs w:val="22"/>
          <w:lang w:val="en-GB"/>
        </w:rPr>
      </w:pPr>
      <w:r w:rsidRPr="00DE74D0">
        <w:rPr>
          <w:rFonts w:ascii="Seaford" w:hAnsi="Seaford"/>
          <w:b/>
          <w:bCs/>
          <w:sz w:val="22"/>
          <w:szCs w:val="22"/>
          <w:lang w:val="en-GB"/>
        </w:rPr>
        <w:t>ERANZ submission points</w:t>
      </w:r>
    </w:p>
    <w:p w14:paraId="1C11A75F" w14:textId="77777777" w:rsidR="005C3966" w:rsidRDefault="005C3966" w:rsidP="00DC75CA">
      <w:pPr>
        <w:rPr>
          <w:rFonts w:ascii="Seaford" w:hAnsi="Seaford"/>
          <w:sz w:val="22"/>
          <w:szCs w:val="22"/>
          <w:lang w:val="en-GB"/>
        </w:rPr>
      </w:pPr>
    </w:p>
    <w:p w14:paraId="336430BD" w14:textId="2E09F713" w:rsidR="002D07C9" w:rsidRPr="00934B2D" w:rsidRDefault="00934B2D" w:rsidP="00DC75CA">
      <w:pPr>
        <w:rPr>
          <w:rFonts w:ascii="Seaford" w:hAnsi="Seaford"/>
          <w:i/>
          <w:iCs/>
          <w:sz w:val="22"/>
          <w:szCs w:val="22"/>
          <w:lang w:val="en-GB"/>
        </w:rPr>
      </w:pPr>
      <w:r w:rsidRPr="00934B2D">
        <w:rPr>
          <w:rFonts w:ascii="Seaford" w:hAnsi="Seaford"/>
          <w:i/>
          <w:iCs/>
          <w:sz w:val="22"/>
          <w:szCs w:val="22"/>
          <w:lang w:val="en-GB"/>
        </w:rPr>
        <w:t>Summary</w:t>
      </w:r>
    </w:p>
    <w:p w14:paraId="6DFEDCC9" w14:textId="6568FF4E" w:rsidR="00934B2D" w:rsidRDefault="00934B2D" w:rsidP="00DC75CA">
      <w:pPr>
        <w:rPr>
          <w:rFonts w:ascii="Seaford" w:hAnsi="Seaford"/>
          <w:sz w:val="22"/>
          <w:szCs w:val="22"/>
          <w:lang w:val="en-GB"/>
        </w:rPr>
      </w:pPr>
    </w:p>
    <w:p w14:paraId="532DE694" w14:textId="77777777" w:rsidR="00363FDD" w:rsidRDefault="00363FDD" w:rsidP="00363FDD">
      <w:pPr>
        <w:rPr>
          <w:rFonts w:ascii="Seaford" w:hAnsi="Seaford"/>
          <w:sz w:val="22"/>
          <w:szCs w:val="22"/>
          <w:lang w:val="en-GB"/>
        </w:rPr>
      </w:pPr>
      <w:r>
        <w:rPr>
          <w:rFonts w:ascii="Seaford" w:hAnsi="Seaford"/>
          <w:sz w:val="22"/>
          <w:szCs w:val="22"/>
          <w:lang w:val="en-GB"/>
        </w:rPr>
        <w:t>ERANZ’s</w:t>
      </w:r>
      <w:r w:rsidRPr="00DC75CA">
        <w:rPr>
          <w:rFonts w:ascii="Seaford" w:hAnsi="Seaford"/>
          <w:sz w:val="22"/>
          <w:szCs w:val="22"/>
          <w:lang w:val="en-GB"/>
        </w:rPr>
        <w:t xml:space="preserve"> three priority areas are efficient energy markets, addressing consumer hardship, and implementing a low-carbon energy future. These priority areas align well with the Authority’s objectives</w:t>
      </w:r>
      <w:r>
        <w:rPr>
          <w:rFonts w:ascii="Seaford" w:hAnsi="Seaford"/>
          <w:sz w:val="22"/>
          <w:szCs w:val="22"/>
          <w:lang w:val="en-GB"/>
        </w:rPr>
        <w:t xml:space="preserve"> </w:t>
      </w:r>
      <w:r w:rsidRPr="00DC75CA">
        <w:rPr>
          <w:rFonts w:ascii="Seaford" w:hAnsi="Seaford"/>
          <w:sz w:val="22"/>
          <w:szCs w:val="22"/>
          <w:lang w:val="en-GB"/>
        </w:rPr>
        <w:t xml:space="preserve">to better understand and analyse the performance of </w:t>
      </w:r>
      <w:r>
        <w:rPr>
          <w:rFonts w:ascii="Seaford" w:hAnsi="Seaford"/>
          <w:sz w:val="22"/>
          <w:szCs w:val="22"/>
          <w:lang w:val="en-GB"/>
        </w:rPr>
        <w:t>our</w:t>
      </w:r>
      <w:r w:rsidRPr="00DC75CA">
        <w:rPr>
          <w:rFonts w:ascii="Seaford" w:hAnsi="Seaford"/>
          <w:sz w:val="22"/>
          <w:szCs w:val="22"/>
          <w:lang w:val="en-GB"/>
        </w:rPr>
        <w:t xml:space="preserve"> electricity market. Timely access to data is a core part of the Authority performing this function well. </w:t>
      </w:r>
    </w:p>
    <w:p w14:paraId="495EC164" w14:textId="77777777" w:rsidR="00363FDD" w:rsidRDefault="00363FDD" w:rsidP="00363FDD">
      <w:pPr>
        <w:rPr>
          <w:rFonts w:ascii="Seaford" w:hAnsi="Seaford"/>
          <w:sz w:val="22"/>
          <w:szCs w:val="22"/>
          <w:lang w:val="en-GB"/>
        </w:rPr>
      </w:pPr>
    </w:p>
    <w:p w14:paraId="14F526F1" w14:textId="2889CBDE" w:rsidR="00363FDD" w:rsidRDefault="00363FDD" w:rsidP="00363FDD">
      <w:pPr>
        <w:rPr>
          <w:rFonts w:ascii="Seaford" w:hAnsi="Seaford"/>
          <w:sz w:val="22"/>
          <w:szCs w:val="22"/>
          <w:lang w:val="en-GB"/>
        </w:rPr>
      </w:pPr>
      <w:r>
        <w:rPr>
          <w:rFonts w:ascii="Seaford" w:hAnsi="Seaford"/>
          <w:sz w:val="22"/>
          <w:szCs w:val="22"/>
          <w:lang w:val="en-GB"/>
        </w:rPr>
        <w:t xml:space="preserve">Our members support the objectives set by the Authority in paragraph 1.4, to improve, standardise, and simplify information requests. </w:t>
      </w:r>
    </w:p>
    <w:p w14:paraId="66E59112" w14:textId="0FFB5C73" w:rsidR="00363FDD" w:rsidRDefault="00363FDD" w:rsidP="00363FDD">
      <w:pPr>
        <w:rPr>
          <w:rFonts w:ascii="Seaford" w:hAnsi="Seaford"/>
          <w:sz w:val="22"/>
          <w:szCs w:val="22"/>
          <w:lang w:val="en-GB"/>
        </w:rPr>
      </w:pPr>
    </w:p>
    <w:p w14:paraId="08174FF2" w14:textId="42B07AD5" w:rsidR="00934B2D" w:rsidRDefault="00CA4102" w:rsidP="00DC75CA">
      <w:pPr>
        <w:rPr>
          <w:rFonts w:ascii="Seaford" w:hAnsi="Seaford"/>
          <w:sz w:val="22"/>
          <w:szCs w:val="22"/>
          <w:lang w:val="en-GB"/>
        </w:rPr>
      </w:pPr>
      <w:r>
        <w:rPr>
          <w:rFonts w:ascii="Seaford" w:hAnsi="Seaford"/>
          <w:sz w:val="22"/>
          <w:szCs w:val="22"/>
          <w:lang w:val="en-GB"/>
        </w:rPr>
        <w:t>ERANZ supports and encourages the</w:t>
      </w:r>
      <w:r w:rsidR="00EE25EB">
        <w:rPr>
          <w:rFonts w:ascii="Seaford" w:hAnsi="Seaford"/>
          <w:sz w:val="22"/>
          <w:szCs w:val="22"/>
          <w:lang w:val="en-GB"/>
        </w:rPr>
        <w:t xml:space="preserve"> Authority’s self-</w:t>
      </w:r>
      <w:r w:rsidR="00FB145A">
        <w:rPr>
          <w:rFonts w:ascii="Seaford" w:hAnsi="Seaford"/>
          <w:sz w:val="22"/>
          <w:szCs w:val="22"/>
          <w:lang w:val="en-GB"/>
        </w:rPr>
        <w:t xml:space="preserve">reflection on the compliance costs it is imposing on the entities it regulates. </w:t>
      </w:r>
      <w:r w:rsidR="00A27C4E">
        <w:rPr>
          <w:rFonts w:ascii="Seaford" w:hAnsi="Seaford"/>
          <w:sz w:val="22"/>
          <w:szCs w:val="22"/>
          <w:lang w:val="en-GB"/>
        </w:rPr>
        <w:t xml:space="preserve">There is always a trade-off between </w:t>
      </w:r>
      <w:r w:rsidR="000D20E9">
        <w:rPr>
          <w:rFonts w:ascii="Seaford" w:hAnsi="Seaford"/>
          <w:sz w:val="22"/>
          <w:szCs w:val="22"/>
          <w:lang w:val="en-GB"/>
        </w:rPr>
        <w:t xml:space="preserve">the </w:t>
      </w:r>
      <w:r w:rsidR="00A27C4E">
        <w:rPr>
          <w:rFonts w:ascii="Seaford" w:hAnsi="Seaford"/>
          <w:sz w:val="22"/>
          <w:szCs w:val="22"/>
          <w:lang w:val="en-GB"/>
        </w:rPr>
        <w:t xml:space="preserve">costs </w:t>
      </w:r>
      <w:r w:rsidR="000D20E9">
        <w:rPr>
          <w:rFonts w:ascii="Seaford" w:hAnsi="Seaford"/>
          <w:sz w:val="22"/>
          <w:szCs w:val="22"/>
          <w:lang w:val="en-GB"/>
        </w:rPr>
        <w:t>imposed o</w:t>
      </w:r>
      <w:r w:rsidR="00A27C4E">
        <w:rPr>
          <w:rFonts w:ascii="Seaford" w:hAnsi="Seaford"/>
          <w:sz w:val="22"/>
          <w:szCs w:val="22"/>
          <w:lang w:val="en-GB"/>
        </w:rPr>
        <w:t xml:space="preserve">n participants </w:t>
      </w:r>
      <w:r w:rsidR="000D20E9">
        <w:rPr>
          <w:rFonts w:ascii="Seaford" w:hAnsi="Seaford"/>
          <w:sz w:val="22"/>
          <w:szCs w:val="22"/>
          <w:lang w:val="en-GB"/>
        </w:rPr>
        <w:t>against</w:t>
      </w:r>
      <w:r w:rsidR="00A27C4E">
        <w:rPr>
          <w:rFonts w:ascii="Seaford" w:hAnsi="Seaford"/>
          <w:sz w:val="22"/>
          <w:szCs w:val="22"/>
          <w:lang w:val="en-GB"/>
        </w:rPr>
        <w:t xml:space="preserve"> the benefits </w:t>
      </w:r>
      <w:r w:rsidR="000D20E9">
        <w:rPr>
          <w:rFonts w:ascii="Seaford" w:hAnsi="Seaford"/>
          <w:sz w:val="22"/>
          <w:szCs w:val="22"/>
          <w:lang w:val="en-GB"/>
        </w:rPr>
        <w:t>experienced by</w:t>
      </w:r>
      <w:r w:rsidR="00A27C4E">
        <w:rPr>
          <w:rFonts w:ascii="Seaford" w:hAnsi="Seaford"/>
          <w:sz w:val="22"/>
          <w:szCs w:val="22"/>
          <w:lang w:val="en-GB"/>
        </w:rPr>
        <w:t xml:space="preserve"> the wider industry and consumers</w:t>
      </w:r>
      <w:r w:rsidR="000D20E9">
        <w:rPr>
          <w:rFonts w:ascii="Seaford" w:hAnsi="Seaford"/>
          <w:sz w:val="22"/>
          <w:szCs w:val="22"/>
          <w:lang w:val="en-GB"/>
        </w:rPr>
        <w:t xml:space="preserve">. In this case, we expect </w:t>
      </w:r>
      <w:r w:rsidR="00374EFE">
        <w:rPr>
          <w:rFonts w:ascii="Seaford" w:hAnsi="Seaford"/>
          <w:sz w:val="22"/>
          <w:szCs w:val="22"/>
          <w:lang w:val="en-GB"/>
        </w:rPr>
        <w:t xml:space="preserve">the Authority </w:t>
      </w:r>
      <w:r w:rsidR="00095E67">
        <w:rPr>
          <w:rFonts w:ascii="Seaford" w:hAnsi="Seaford"/>
          <w:sz w:val="22"/>
          <w:szCs w:val="22"/>
          <w:lang w:val="en-GB"/>
        </w:rPr>
        <w:t>improving</w:t>
      </w:r>
      <w:r w:rsidR="00374EFE">
        <w:rPr>
          <w:rFonts w:ascii="Seaford" w:hAnsi="Seaford"/>
          <w:sz w:val="22"/>
          <w:szCs w:val="22"/>
          <w:lang w:val="en-GB"/>
        </w:rPr>
        <w:t xml:space="preserve"> and </w:t>
      </w:r>
      <w:r w:rsidR="003C4ED4">
        <w:rPr>
          <w:rFonts w:ascii="Seaford" w:hAnsi="Seaford"/>
          <w:sz w:val="22"/>
          <w:szCs w:val="22"/>
          <w:lang w:val="en-GB"/>
        </w:rPr>
        <w:t xml:space="preserve">standardising </w:t>
      </w:r>
      <w:r w:rsidR="00374EFE">
        <w:rPr>
          <w:rFonts w:ascii="Seaford" w:hAnsi="Seaford"/>
          <w:sz w:val="22"/>
          <w:szCs w:val="22"/>
          <w:lang w:val="en-GB"/>
        </w:rPr>
        <w:t>its notices</w:t>
      </w:r>
      <w:r w:rsidR="003C4ED4">
        <w:rPr>
          <w:rFonts w:ascii="Seaford" w:hAnsi="Seaford"/>
          <w:sz w:val="22"/>
          <w:szCs w:val="22"/>
          <w:lang w:val="en-GB"/>
        </w:rPr>
        <w:t xml:space="preserve"> will benefit both participants and consumers.</w:t>
      </w:r>
    </w:p>
    <w:p w14:paraId="3C6F5016" w14:textId="156035E9" w:rsidR="00E35541" w:rsidRDefault="00E35541" w:rsidP="00DC75CA">
      <w:pPr>
        <w:rPr>
          <w:rFonts w:ascii="Seaford" w:hAnsi="Seaford"/>
          <w:sz w:val="22"/>
          <w:szCs w:val="22"/>
          <w:lang w:val="en-GB"/>
        </w:rPr>
      </w:pPr>
    </w:p>
    <w:p w14:paraId="2700DDEC" w14:textId="759377BF" w:rsidR="00E35541" w:rsidRDefault="00E35541" w:rsidP="00DC75CA">
      <w:pPr>
        <w:rPr>
          <w:rFonts w:ascii="Seaford" w:hAnsi="Seaford"/>
          <w:sz w:val="22"/>
          <w:szCs w:val="22"/>
          <w:lang w:val="en-GB"/>
        </w:rPr>
      </w:pPr>
      <w:r>
        <w:rPr>
          <w:rFonts w:ascii="Seaford" w:hAnsi="Seaford"/>
          <w:sz w:val="22"/>
          <w:szCs w:val="22"/>
          <w:lang w:val="en-GB"/>
        </w:rPr>
        <w:t xml:space="preserve">The Authority’s desire to better signal </w:t>
      </w:r>
      <w:r w:rsidR="003B181D">
        <w:rPr>
          <w:rFonts w:ascii="Seaford" w:hAnsi="Seaford"/>
          <w:sz w:val="22"/>
          <w:szCs w:val="22"/>
          <w:lang w:val="en-GB"/>
        </w:rPr>
        <w:t xml:space="preserve">in advance the information it requires will allow our members to </w:t>
      </w:r>
      <w:r w:rsidR="00321001">
        <w:rPr>
          <w:rFonts w:ascii="Seaford" w:hAnsi="Seaford"/>
          <w:sz w:val="22"/>
          <w:szCs w:val="22"/>
          <w:lang w:val="en-GB"/>
        </w:rPr>
        <w:t>build their systems around these requests. In addition, the Authority’s commitment to consult on information requests allows for practical feedback from industry.</w:t>
      </w:r>
    </w:p>
    <w:p w14:paraId="35CAF6C7" w14:textId="77777777" w:rsidR="002D07C9" w:rsidRDefault="002D07C9" w:rsidP="00DC75CA">
      <w:pPr>
        <w:rPr>
          <w:rFonts w:ascii="Seaford" w:hAnsi="Seaford"/>
          <w:sz w:val="22"/>
          <w:szCs w:val="22"/>
          <w:lang w:val="en-GB"/>
        </w:rPr>
      </w:pPr>
    </w:p>
    <w:p w14:paraId="7C5825A1" w14:textId="1184FB6F" w:rsidR="00DE74D0" w:rsidRPr="002E76FD" w:rsidRDefault="00DE74D0" w:rsidP="00DE74D0">
      <w:pPr>
        <w:rPr>
          <w:rFonts w:ascii="Seaford" w:hAnsi="Seaford"/>
          <w:i/>
          <w:iCs/>
          <w:sz w:val="22"/>
          <w:szCs w:val="22"/>
          <w:lang w:val="en-GB"/>
        </w:rPr>
      </w:pPr>
      <w:r w:rsidRPr="002E76FD">
        <w:rPr>
          <w:rFonts w:ascii="Seaford" w:hAnsi="Seaford"/>
          <w:i/>
          <w:iCs/>
          <w:sz w:val="22"/>
          <w:szCs w:val="22"/>
          <w:lang w:val="en-GB"/>
        </w:rPr>
        <w:t>Do you agree the issue identified by the Authority is worthy of attention?</w:t>
      </w:r>
    </w:p>
    <w:p w14:paraId="35AE83D4" w14:textId="03041FD4" w:rsidR="002E76FD" w:rsidRDefault="002E76FD" w:rsidP="00DE74D0">
      <w:pPr>
        <w:rPr>
          <w:rFonts w:ascii="Seaford" w:hAnsi="Seaford"/>
          <w:sz w:val="22"/>
          <w:szCs w:val="22"/>
          <w:lang w:val="en-GB"/>
        </w:rPr>
      </w:pPr>
    </w:p>
    <w:p w14:paraId="5045CA40" w14:textId="1765BB63" w:rsidR="002E76FD" w:rsidRDefault="002E76FD" w:rsidP="00DE74D0">
      <w:pPr>
        <w:rPr>
          <w:rFonts w:ascii="Seaford" w:hAnsi="Seaford"/>
          <w:sz w:val="22"/>
          <w:szCs w:val="22"/>
          <w:lang w:val="en-GB"/>
        </w:rPr>
      </w:pPr>
      <w:r>
        <w:rPr>
          <w:rFonts w:ascii="Seaford" w:hAnsi="Seaford"/>
          <w:sz w:val="22"/>
          <w:szCs w:val="22"/>
          <w:lang w:val="en-GB"/>
        </w:rPr>
        <w:t xml:space="preserve">Yes. </w:t>
      </w:r>
      <w:r w:rsidR="00FD7A83">
        <w:rPr>
          <w:rFonts w:ascii="Seaford" w:hAnsi="Seaford"/>
          <w:sz w:val="22"/>
          <w:szCs w:val="22"/>
          <w:lang w:val="en-GB"/>
        </w:rPr>
        <w:t xml:space="preserve">The </w:t>
      </w:r>
      <w:r w:rsidR="009E63A9">
        <w:rPr>
          <w:rFonts w:ascii="Seaford" w:hAnsi="Seaford"/>
          <w:sz w:val="22"/>
          <w:szCs w:val="22"/>
          <w:lang w:val="en-GB"/>
        </w:rPr>
        <w:t xml:space="preserve">electricity industry’s increasing complexity and technological innovation requires the Authority </w:t>
      </w:r>
      <w:r w:rsidR="00155170">
        <w:rPr>
          <w:rFonts w:ascii="Seaford" w:hAnsi="Seaford"/>
          <w:sz w:val="22"/>
          <w:szCs w:val="22"/>
          <w:lang w:val="en-GB"/>
        </w:rPr>
        <w:t xml:space="preserve">constantly </w:t>
      </w:r>
      <w:r w:rsidR="00940F18">
        <w:rPr>
          <w:rFonts w:ascii="Seaford" w:hAnsi="Seaford"/>
          <w:sz w:val="22"/>
          <w:szCs w:val="22"/>
          <w:lang w:val="en-GB"/>
        </w:rPr>
        <w:t>to review and analyse whether its regulations remain fit-for-purpose</w:t>
      </w:r>
      <w:r w:rsidR="009E63A9">
        <w:rPr>
          <w:rFonts w:ascii="Seaford" w:hAnsi="Seaford"/>
          <w:sz w:val="22"/>
          <w:szCs w:val="22"/>
          <w:lang w:val="en-GB"/>
        </w:rPr>
        <w:t>. Having c</w:t>
      </w:r>
      <w:r w:rsidR="00962F48">
        <w:rPr>
          <w:rFonts w:ascii="Seaford" w:hAnsi="Seaford"/>
          <w:sz w:val="22"/>
          <w:szCs w:val="22"/>
          <w:lang w:val="en-GB"/>
        </w:rPr>
        <w:t>omprehensive information to perform this task is supported by our retailers.</w:t>
      </w:r>
    </w:p>
    <w:p w14:paraId="6823FDBE" w14:textId="77777777" w:rsidR="00B43FF2" w:rsidRDefault="00B43FF2" w:rsidP="0050053F">
      <w:pPr>
        <w:rPr>
          <w:rFonts w:ascii="Seaford" w:hAnsi="Seaford"/>
          <w:sz w:val="22"/>
          <w:szCs w:val="22"/>
          <w:lang w:val="en-GB"/>
        </w:rPr>
      </w:pPr>
    </w:p>
    <w:p w14:paraId="50C52B64" w14:textId="783825C4" w:rsidR="0050053F" w:rsidRPr="00AC1539" w:rsidRDefault="0050053F" w:rsidP="0050053F">
      <w:pPr>
        <w:rPr>
          <w:rFonts w:ascii="Seaford" w:hAnsi="Seaford"/>
          <w:sz w:val="22"/>
          <w:szCs w:val="22"/>
          <w:lang w:val="en-GB"/>
        </w:rPr>
      </w:pPr>
      <w:r w:rsidRPr="00AC1539">
        <w:rPr>
          <w:rFonts w:ascii="Seaford" w:hAnsi="Seaford"/>
          <w:sz w:val="22"/>
          <w:szCs w:val="22"/>
          <w:lang w:val="en-GB"/>
        </w:rPr>
        <w:t>For example, ERANZ currently collects and publishes a range of disconnection data from its members. This data is wider in scope than published by the Authority (covering disconnection notices and durations as well as number of disconnections</w:t>
      </w:r>
      <w:r w:rsidR="008A4547" w:rsidRPr="00AC1539">
        <w:rPr>
          <w:rFonts w:ascii="Seaford" w:hAnsi="Seaford"/>
          <w:sz w:val="22"/>
          <w:szCs w:val="22"/>
          <w:lang w:val="en-GB"/>
        </w:rPr>
        <w:t>) and</w:t>
      </w:r>
      <w:r w:rsidRPr="00AC1539">
        <w:rPr>
          <w:rFonts w:ascii="Seaford" w:hAnsi="Seaford"/>
          <w:sz w:val="22"/>
          <w:szCs w:val="22"/>
          <w:lang w:val="en-GB"/>
        </w:rPr>
        <w:t xml:space="preserve"> is typically </w:t>
      </w:r>
      <w:r w:rsidR="008A4547" w:rsidRPr="00AC1539">
        <w:rPr>
          <w:rFonts w:ascii="Seaford" w:hAnsi="Seaford"/>
          <w:sz w:val="22"/>
          <w:szCs w:val="22"/>
          <w:lang w:val="en-GB"/>
        </w:rPr>
        <w:t>timelier</w:t>
      </w:r>
      <w:r w:rsidRPr="00AC1539">
        <w:rPr>
          <w:rFonts w:ascii="Seaford" w:hAnsi="Seaford"/>
          <w:sz w:val="22"/>
          <w:szCs w:val="22"/>
          <w:lang w:val="en-GB"/>
        </w:rPr>
        <w:t xml:space="preserve">. We consider there </w:t>
      </w:r>
      <w:r w:rsidR="00A85BA6">
        <w:rPr>
          <w:rFonts w:ascii="Seaford" w:hAnsi="Seaford"/>
          <w:sz w:val="22"/>
          <w:szCs w:val="22"/>
          <w:lang w:val="en-GB"/>
        </w:rPr>
        <w:t>is</w:t>
      </w:r>
      <w:r w:rsidRPr="00AC1539">
        <w:rPr>
          <w:rFonts w:ascii="Seaford" w:hAnsi="Seaford"/>
          <w:sz w:val="22"/>
          <w:szCs w:val="22"/>
          <w:lang w:val="en-GB"/>
        </w:rPr>
        <w:t xml:space="preserve"> merit in the Authority collecting and publishing this wider set of disconnection data to ensure all retailers are releasing such information, as well as other metrics around how the electricity system is supporting customers</w:t>
      </w:r>
      <w:r w:rsidR="00211BD0">
        <w:rPr>
          <w:rFonts w:ascii="Seaford" w:hAnsi="Seaford"/>
          <w:sz w:val="22"/>
          <w:szCs w:val="22"/>
          <w:lang w:val="en-GB"/>
        </w:rPr>
        <w:t>,</w:t>
      </w:r>
      <w:r w:rsidRPr="00AC1539">
        <w:rPr>
          <w:rFonts w:ascii="Seaford" w:hAnsi="Seaford"/>
          <w:sz w:val="22"/>
          <w:szCs w:val="22"/>
          <w:lang w:val="en-GB"/>
        </w:rPr>
        <w:t xml:space="preserve"> such as debt rates and levels.</w:t>
      </w:r>
    </w:p>
    <w:p w14:paraId="0568CA30" w14:textId="202137B4" w:rsidR="00962F48" w:rsidRDefault="00962F48" w:rsidP="00DE74D0">
      <w:pPr>
        <w:rPr>
          <w:rFonts w:ascii="Seaford" w:hAnsi="Seaford"/>
          <w:sz w:val="22"/>
          <w:szCs w:val="22"/>
          <w:lang w:val="en-GB"/>
        </w:rPr>
      </w:pPr>
    </w:p>
    <w:p w14:paraId="3562CAEF" w14:textId="32A79846" w:rsidR="00962F48" w:rsidRDefault="00962F48" w:rsidP="00DE74D0">
      <w:pPr>
        <w:rPr>
          <w:rFonts w:ascii="Seaford" w:hAnsi="Seaford"/>
          <w:sz w:val="22"/>
          <w:szCs w:val="22"/>
          <w:lang w:val="en-GB"/>
        </w:rPr>
      </w:pPr>
      <w:r>
        <w:rPr>
          <w:rFonts w:ascii="Seaford" w:hAnsi="Seaford"/>
          <w:sz w:val="22"/>
          <w:szCs w:val="22"/>
          <w:lang w:val="en-GB"/>
        </w:rPr>
        <w:t xml:space="preserve">Rising stakeholder expectations for </w:t>
      </w:r>
      <w:r w:rsidR="005A0483">
        <w:rPr>
          <w:rFonts w:ascii="Seaford" w:hAnsi="Seaford"/>
          <w:sz w:val="22"/>
          <w:szCs w:val="22"/>
          <w:lang w:val="en-GB"/>
        </w:rPr>
        <w:t xml:space="preserve">data-driven </w:t>
      </w:r>
      <w:r w:rsidR="00E93451">
        <w:rPr>
          <w:rFonts w:ascii="Seaford" w:hAnsi="Seaford"/>
          <w:sz w:val="22"/>
          <w:szCs w:val="22"/>
          <w:lang w:val="en-GB"/>
        </w:rPr>
        <w:t xml:space="preserve">analysis means </w:t>
      </w:r>
      <w:r w:rsidR="00856CDD">
        <w:rPr>
          <w:rFonts w:ascii="Seaford" w:hAnsi="Seaford"/>
          <w:sz w:val="22"/>
          <w:szCs w:val="22"/>
          <w:lang w:val="en-GB"/>
        </w:rPr>
        <w:t xml:space="preserve">the Authority </w:t>
      </w:r>
      <w:r w:rsidR="00DD45F0">
        <w:rPr>
          <w:rFonts w:ascii="Seaford" w:hAnsi="Seaford"/>
          <w:sz w:val="22"/>
          <w:szCs w:val="22"/>
          <w:lang w:val="en-GB"/>
        </w:rPr>
        <w:t>must lift its performance</w:t>
      </w:r>
      <w:r w:rsidR="00856CDD">
        <w:rPr>
          <w:rFonts w:ascii="Seaford" w:hAnsi="Seaford"/>
          <w:sz w:val="22"/>
          <w:szCs w:val="22"/>
          <w:lang w:val="en-GB"/>
        </w:rPr>
        <w:t xml:space="preserve"> </w:t>
      </w:r>
      <w:proofErr w:type="gramStart"/>
      <w:r w:rsidR="00856CDD">
        <w:rPr>
          <w:rFonts w:ascii="Seaford" w:hAnsi="Seaford"/>
          <w:sz w:val="22"/>
          <w:szCs w:val="22"/>
          <w:lang w:val="en-GB"/>
        </w:rPr>
        <w:t>in order to</w:t>
      </w:r>
      <w:proofErr w:type="gramEnd"/>
      <w:r w:rsidR="00856CDD">
        <w:rPr>
          <w:rFonts w:ascii="Seaford" w:hAnsi="Seaford"/>
          <w:sz w:val="22"/>
          <w:szCs w:val="22"/>
          <w:lang w:val="en-GB"/>
        </w:rPr>
        <w:t xml:space="preserve"> satisfy </w:t>
      </w:r>
      <w:r w:rsidR="006D2623">
        <w:rPr>
          <w:rFonts w:ascii="Seaford" w:hAnsi="Seaford"/>
          <w:sz w:val="22"/>
          <w:szCs w:val="22"/>
          <w:lang w:val="en-GB"/>
        </w:rPr>
        <w:t xml:space="preserve">stakeholders they understand the market well enough </w:t>
      </w:r>
      <w:r w:rsidR="00D02638">
        <w:rPr>
          <w:rFonts w:ascii="Seaford" w:hAnsi="Seaford"/>
          <w:sz w:val="22"/>
          <w:szCs w:val="22"/>
          <w:lang w:val="en-GB"/>
        </w:rPr>
        <w:t>to regulate it</w:t>
      </w:r>
      <w:r w:rsidR="00DD45F0" w:rsidRPr="00DD45F0">
        <w:rPr>
          <w:rFonts w:ascii="Seaford" w:hAnsi="Seaford"/>
          <w:sz w:val="22"/>
          <w:szCs w:val="22"/>
          <w:lang w:val="en-GB"/>
        </w:rPr>
        <w:t xml:space="preserve"> </w:t>
      </w:r>
      <w:r w:rsidR="00DD45F0">
        <w:rPr>
          <w:rFonts w:ascii="Seaford" w:hAnsi="Seaford"/>
          <w:sz w:val="22"/>
          <w:szCs w:val="22"/>
          <w:lang w:val="en-GB"/>
        </w:rPr>
        <w:t>adequately</w:t>
      </w:r>
      <w:r w:rsidR="00D02638">
        <w:rPr>
          <w:rFonts w:ascii="Seaford" w:hAnsi="Seaford"/>
          <w:sz w:val="22"/>
          <w:szCs w:val="22"/>
          <w:lang w:val="en-GB"/>
        </w:rPr>
        <w:t>.</w:t>
      </w:r>
    </w:p>
    <w:p w14:paraId="62897F75" w14:textId="4FEB9706" w:rsidR="00DD45F0" w:rsidRDefault="00DD45F0" w:rsidP="00DE74D0">
      <w:pPr>
        <w:rPr>
          <w:rFonts w:ascii="Seaford" w:hAnsi="Seaford"/>
          <w:sz w:val="22"/>
          <w:szCs w:val="22"/>
          <w:lang w:val="en-GB"/>
        </w:rPr>
      </w:pPr>
    </w:p>
    <w:p w14:paraId="1C0DB41F" w14:textId="1328480C" w:rsidR="00DD45F0" w:rsidRDefault="00FD7567" w:rsidP="00DE74D0">
      <w:pPr>
        <w:rPr>
          <w:rFonts w:ascii="Seaford" w:hAnsi="Seaford"/>
          <w:sz w:val="22"/>
          <w:szCs w:val="22"/>
          <w:lang w:val="en-GB"/>
        </w:rPr>
      </w:pPr>
      <w:r>
        <w:rPr>
          <w:rFonts w:ascii="Seaford" w:hAnsi="Seaford"/>
          <w:sz w:val="22"/>
          <w:szCs w:val="22"/>
          <w:lang w:val="en-GB"/>
        </w:rPr>
        <w:t xml:space="preserve">The </w:t>
      </w:r>
      <w:r w:rsidR="004578BE">
        <w:rPr>
          <w:rFonts w:ascii="Seaford" w:hAnsi="Seaford"/>
          <w:sz w:val="22"/>
          <w:szCs w:val="22"/>
          <w:lang w:val="en-GB"/>
        </w:rPr>
        <w:t xml:space="preserve">Authority’s </w:t>
      </w:r>
      <w:r>
        <w:rPr>
          <w:rFonts w:ascii="Seaford" w:hAnsi="Seaford"/>
          <w:sz w:val="22"/>
          <w:szCs w:val="22"/>
          <w:lang w:val="en-GB"/>
        </w:rPr>
        <w:t xml:space="preserve">current </w:t>
      </w:r>
      <w:r w:rsidR="004578BE" w:rsidRPr="00B43FF2">
        <w:rPr>
          <w:rFonts w:ascii="Seaford" w:hAnsi="Seaford"/>
          <w:sz w:val="22"/>
          <w:szCs w:val="22"/>
          <w:lang w:val="en-GB"/>
        </w:rPr>
        <w:t>arrangements for collecting information for monitoring</w:t>
      </w:r>
      <w:r w:rsidR="004578BE">
        <w:rPr>
          <w:rFonts w:ascii="Seaford" w:hAnsi="Seaford"/>
          <w:sz w:val="22"/>
          <w:szCs w:val="22"/>
          <w:lang w:val="en-GB"/>
        </w:rPr>
        <w:t xml:space="preserve"> </w:t>
      </w:r>
      <w:r>
        <w:rPr>
          <w:rFonts w:ascii="Seaford" w:hAnsi="Seaford"/>
          <w:sz w:val="22"/>
          <w:szCs w:val="22"/>
          <w:lang w:val="en-GB"/>
        </w:rPr>
        <w:t xml:space="preserve">can </w:t>
      </w:r>
      <w:r w:rsidR="00B80A45">
        <w:rPr>
          <w:rFonts w:ascii="Seaford" w:hAnsi="Seaford"/>
          <w:sz w:val="22"/>
          <w:szCs w:val="22"/>
          <w:lang w:val="en-GB"/>
        </w:rPr>
        <w:t>be improved</w:t>
      </w:r>
      <w:r w:rsidR="009D629E">
        <w:rPr>
          <w:rFonts w:ascii="Seaford" w:hAnsi="Seaford"/>
          <w:sz w:val="22"/>
          <w:szCs w:val="22"/>
          <w:lang w:val="en-GB"/>
        </w:rPr>
        <w:t xml:space="preserve">, as </w:t>
      </w:r>
      <w:r w:rsidR="004578BE">
        <w:rPr>
          <w:rFonts w:ascii="Seaford" w:hAnsi="Seaford"/>
          <w:sz w:val="22"/>
          <w:szCs w:val="22"/>
          <w:lang w:val="en-GB"/>
        </w:rPr>
        <w:t>identified</w:t>
      </w:r>
      <w:r w:rsidR="009D629E">
        <w:rPr>
          <w:rFonts w:ascii="Seaford" w:hAnsi="Seaford"/>
          <w:sz w:val="22"/>
          <w:szCs w:val="22"/>
          <w:lang w:val="en-GB"/>
        </w:rPr>
        <w:t xml:space="preserve"> in this discussion document. </w:t>
      </w:r>
      <w:r w:rsidR="00192D54">
        <w:rPr>
          <w:rFonts w:ascii="Seaford" w:hAnsi="Seaford"/>
          <w:sz w:val="22"/>
          <w:szCs w:val="22"/>
          <w:lang w:val="en-GB"/>
        </w:rPr>
        <w:t xml:space="preserve">However, </w:t>
      </w:r>
      <w:r w:rsidR="001F4A95">
        <w:rPr>
          <w:rFonts w:ascii="Seaford" w:hAnsi="Seaford"/>
          <w:sz w:val="22"/>
          <w:szCs w:val="22"/>
          <w:lang w:val="en-GB"/>
        </w:rPr>
        <w:t xml:space="preserve">our members do not consider the drawbacks of section 46 </w:t>
      </w:r>
      <w:r w:rsidR="00231C75">
        <w:rPr>
          <w:rFonts w:ascii="Seaford" w:hAnsi="Seaford"/>
          <w:sz w:val="22"/>
          <w:szCs w:val="22"/>
          <w:lang w:val="en-GB"/>
        </w:rPr>
        <w:t>information requests</w:t>
      </w:r>
      <w:r w:rsidR="001F4A95">
        <w:rPr>
          <w:rFonts w:ascii="Seaford" w:hAnsi="Seaford"/>
          <w:sz w:val="22"/>
          <w:szCs w:val="22"/>
          <w:lang w:val="en-GB"/>
        </w:rPr>
        <w:t xml:space="preserve"> identified in paragraph 2.23 </w:t>
      </w:r>
      <w:r w:rsidR="00231C75">
        <w:rPr>
          <w:rFonts w:ascii="Seaford" w:hAnsi="Seaford"/>
          <w:sz w:val="22"/>
          <w:szCs w:val="22"/>
          <w:lang w:val="en-GB"/>
        </w:rPr>
        <w:t xml:space="preserve">require the establishment of a new, </w:t>
      </w:r>
      <w:r w:rsidR="00F13300">
        <w:rPr>
          <w:rFonts w:ascii="Seaford" w:hAnsi="Seaford"/>
          <w:sz w:val="22"/>
          <w:szCs w:val="22"/>
          <w:lang w:val="en-GB"/>
        </w:rPr>
        <w:t>additional method for gathering information.</w:t>
      </w:r>
      <w:r w:rsidR="00824AB4">
        <w:rPr>
          <w:rFonts w:ascii="Seaford" w:hAnsi="Seaford"/>
          <w:sz w:val="22"/>
          <w:szCs w:val="22"/>
          <w:lang w:val="en-GB"/>
        </w:rPr>
        <w:t xml:space="preserve"> I</w:t>
      </w:r>
      <w:r w:rsidR="00F13300">
        <w:rPr>
          <w:rFonts w:ascii="Seaford" w:hAnsi="Seaford"/>
          <w:sz w:val="22"/>
          <w:szCs w:val="22"/>
          <w:lang w:val="en-GB"/>
        </w:rPr>
        <w:t>mprovements</w:t>
      </w:r>
      <w:r w:rsidR="00B21DA9">
        <w:rPr>
          <w:rFonts w:ascii="Seaford" w:hAnsi="Seaford"/>
          <w:sz w:val="22"/>
          <w:szCs w:val="22"/>
          <w:lang w:val="en-GB"/>
        </w:rPr>
        <w:t xml:space="preserve">, such as proactive engagement with industry </w:t>
      </w:r>
      <w:r w:rsidR="00824AB4">
        <w:rPr>
          <w:rFonts w:ascii="Seaford" w:hAnsi="Seaford"/>
          <w:sz w:val="22"/>
          <w:szCs w:val="22"/>
          <w:lang w:val="en-GB"/>
        </w:rPr>
        <w:t>and</w:t>
      </w:r>
      <w:r w:rsidR="00B21DA9">
        <w:rPr>
          <w:rFonts w:ascii="Seaford" w:hAnsi="Seaford"/>
          <w:sz w:val="22"/>
          <w:szCs w:val="22"/>
          <w:lang w:val="en-GB"/>
        </w:rPr>
        <w:t xml:space="preserve"> undertaking cost-benefit analysis, </w:t>
      </w:r>
      <w:r w:rsidR="007D28E9">
        <w:rPr>
          <w:rFonts w:ascii="Seaford" w:hAnsi="Seaford"/>
          <w:sz w:val="22"/>
          <w:szCs w:val="22"/>
          <w:lang w:val="en-GB"/>
        </w:rPr>
        <w:t xml:space="preserve">can be implemented </w:t>
      </w:r>
      <w:r w:rsidR="00F91828">
        <w:rPr>
          <w:rFonts w:ascii="Seaford" w:hAnsi="Seaford"/>
          <w:sz w:val="22"/>
          <w:szCs w:val="22"/>
          <w:lang w:val="en-GB"/>
        </w:rPr>
        <w:t>currently</w:t>
      </w:r>
      <w:r w:rsidR="007D28E9">
        <w:rPr>
          <w:rFonts w:ascii="Seaford" w:hAnsi="Seaford"/>
          <w:sz w:val="22"/>
          <w:szCs w:val="22"/>
          <w:lang w:val="en-GB"/>
        </w:rPr>
        <w:t xml:space="preserve"> if the Authority chooses. </w:t>
      </w:r>
    </w:p>
    <w:p w14:paraId="625A8347" w14:textId="456B3021" w:rsidR="00CE1478" w:rsidRDefault="00CE1478" w:rsidP="00DE74D0">
      <w:pPr>
        <w:rPr>
          <w:rFonts w:ascii="Seaford" w:hAnsi="Seaford"/>
          <w:sz w:val="22"/>
          <w:szCs w:val="22"/>
          <w:lang w:val="en-GB"/>
        </w:rPr>
      </w:pPr>
    </w:p>
    <w:p w14:paraId="4B6853C6" w14:textId="016FD5A2" w:rsidR="00DE74D0" w:rsidRPr="00EB0A10" w:rsidRDefault="00DE74D0" w:rsidP="00DE74D0">
      <w:pPr>
        <w:rPr>
          <w:rFonts w:ascii="Seaford" w:hAnsi="Seaford"/>
          <w:i/>
          <w:iCs/>
          <w:sz w:val="22"/>
          <w:szCs w:val="22"/>
          <w:lang w:val="en-GB"/>
        </w:rPr>
      </w:pPr>
      <w:r w:rsidRPr="00EB0A10">
        <w:rPr>
          <w:rFonts w:ascii="Seaford" w:hAnsi="Seaford"/>
          <w:i/>
          <w:iCs/>
          <w:sz w:val="22"/>
          <w:szCs w:val="22"/>
          <w:lang w:val="en-GB"/>
        </w:rPr>
        <w:t>Do you agree with the objective of the proposed</w:t>
      </w:r>
      <w:r w:rsidR="00EB0A10" w:rsidRPr="00EB0A10">
        <w:rPr>
          <w:rFonts w:ascii="Seaford" w:hAnsi="Seaford"/>
          <w:i/>
          <w:iCs/>
          <w:sz w:val="22"/>
          <w:szCs w:val="22"/>
          <w:lang w:val="en-GB"/>
        </w:rPr>
        <w:t xml:space="preserve"> </w:t>
      </w:r>
      <w:r w:rsidRPr="00EB0A10">
        <w:rPr>
          <w:rFonts w:ascii="Seaford" w:hAnsi="Seaford"/>
          <w:i/>
          <w:iCs/>
          <w:sz w:val="22"/>
          <w:szCs w:val="22"/>
          <w:lang w:val="en-GB"/>
        </w:rPr>
        <w:t>amendment? If not, why not?</w:t>
      </w:r>
    </w:p>
    <w:p w14:paraId="10E734DD" w14:textId="77777777" w:rsidR="00EB0A10" w:rsidRDefault="00EB0A10" w:rsidP="00DE74D0">
      <w:pPr>
        <w:rPr>
          <w:rFonts w:ascii="Seaford" w:hAnsi="Seaford"/>
          <w:sz w:val="22"/>
          <w:szCs w:val="22"/>
          <w:lang w:val="en-GB"/>
        </w:rPr>
      </w:pPr>
    </w:p>
    <w:p w14:paraId="0CC9141B" w14:textId="2A5EC413" w:rsidR="00EB0A10" w:rsidRDefault="00EB0A10" w:rsidP="00DE74D0">
      <w:pPr>
        <w:rPr>
          <w:rFonts w:ascii="Seaford" w:hAnsi="Seaford"/>
          <w:sz w:val="22"/>
          <w:szCs w:val="22"/>
          <w:lang w:val="en-GB"/>
        </w:rPr>
      </w:pPr>
      <w:r>
        <w:rPr>
          <w:rFonts w:ascii="Seaford" w:hAnsi="Seaford"/>
          <w:sz w:val="22"/>
          <w:szCs w:val="22"/>
          <w:lang w:val="en-GB"/>
        </w:rPr>
        <w:t xml:space="preserve">Yes. </w:t>
      </w:r>
      <w:r w:rsidR="00E2549A">
        <w:rPr>
          <w:rFonts w:ascii="Seaford" w:hAnsi="Seaford"/>
          <w:sz w:val="22"/>
          <w:szCs w:val="22"/>
          <w:lang w:val="en-GB"/>
        </w:rPr>
        <w:t xml:space="preserve">ERANZ agrees with </w:t>
      </w:r>
      <w:r w:rsidR="0027176C">
        <w:rPr>
          <w:rFonts w:ascii="Seaford" w:hAnsi="Seaford"/>
          <w:sz w:val="22"/>
          <w:szCs w:val="22"/>
          <w:lang w:val="en-GB"/>
        </w:rPr>
        <w:t>improving</w:t>
      </w:r>
      <w:r w:rsidR="00E2549A">
        <w:rPr>
          <w:rFonts w:ascii="Seaford" w:hAnsi="Seaford"/>
          <w:sz w:val="22"/>
          <w:szCs w:val="22"/>
          <w:lang w:val="en-GB"/>
        </w:rPr>
        <w:t xml:space="preserve"> the Authority’s decision-making through better information, and </w:t>
      </w:r>
      <w:r w:rsidR="00067724">
        <w:rPr>
          <w:rFonts w:ascii="Seaford" w:hAnsi="Seaford"/>
          <w:sz w:val="22"/>
          <w:szCs w:val="22"/>
          <w:lang w:val="en-GB"/>
        </w:rPr>
        <w:t>the Authority engaging with participants over the most effective way of collecting information.</w:t>
      </w:r>
    </w:p>
    <w:p w14:paraId="662FB3C1" w14:textId="4F0FD9D7" w:rsidR="00067724" w:rsidRDefault="00067724" w:rsidP="00DE74D0">
      <w:pPr>
        <w:rPr>
          <w:rFonts w:ascii="Seaford" w:hAnsi="Seaford"/>
          <w:sz w:val="22"/>
          <w:szCs w:val="22"/>
          <w:lang w:val="en-GB"/>
        </w:rPr>
      </w:pPr>
    </w:p>
    <w:p w14:paraId="14000791" w14:textId="14E71B45" w:rsidR="0017620F" w:rsidRDefault="00AD2324" w:rsidP="00DE74D0">
      <w:pPr>
        <w:rPr>
          <w:rFonts w:ascii="Seaford" w:hAnsi="Seaford"/>
          <w:sz w:val="22"/>
          <w:szCs w:val="22"/>
          <w:lang w:val="en-GB"/>
        </w:rPr>
      </w:pPr>
      <w:r>
        <w:rPr>
          <w:rFonts w:ascii="Seaford" w:hAnsi="Seaford"/>
          <w:sz w:val="22"/>
          <w:szCs w:val="22"/>
          <w:lang w:val="en-GB"/>
        </w:rPr>
        <w:t xml:space="preserve">Our members </w:t>
      </w:r>
      <w:r w:rsidR="00260FD4">
        <w:rPr>
          <w:rFonts w:ascii="Seaford" w:hAnsi="Seaford"/>
          <w:sz w:val="22"/>
          <w:szCs w:val="22"/>
          <w:lang w:val="en-GB"/>
        </w:rPr>
        <w:t xml:space="preserve">value their conversations with the Authority through consultation processes. </w:t>
      </w:r>
      <w:r w:rsidR="00933CD4">
        <w:rPr>
          <w:rFonts w:ascii="Seaford" w:hAnsi="Seaford"/>
          <w:sz w:val="22"/>
          <w:szCs w:val="22"/>
          <w:lang w:val="en-GB"/>
        </w:rPr>
        <w:t xml:space="preserve">Incorporating </w:t>
      </w:r>
      <w:r w:rsidR="00694AFA">
        <w:rPr>
          <w:rFonts w:ascii="Seaford" w:hAnsi="Seaford"/>
          <w:sz w:val="22"/>
          <w:szCs w:val="22"/>
          <w:lang w:val="en-GB"/>
        </w:rPr>
        <w:t>a consultation step in the development of</w:t>
      </w:r>
      <w:r w:rsidR="00227BBE">
        <w:rPr>
          <w:rFonts w:ascii="Seaford" w:hAnsi="Seaford"/>
          <w:sz w:val="22"/>
          <w:szCs w:val="22"/>
          <w:lang w:val="en-GB"/>
        </w:rPr>
        <w:t xml:space="preserve"> </w:t>
      </w:r>
      <w:r w:rsidR="00596E3F">
        <w:rPr>
          <w:rFonts w:ascii="Seaford" w:hAnsi="Seaford"/>
          <w:sz w:val="22"/>
          <w:szCs w:val="22"/>
          <w:lang w:val="en-GB"/>
        </w:rPr>
        <w:t>information requests</w:t>
      </w:r>
      <w:r w:rsidR="00227BBE">
        <w:rPr>
          <w:rFonts w:ascii="Seaford" w:hAnsi="Seaford"/>
          <w:sz w:val="22"/>
          <w:szCs w:val="22"/>
          <w:lang w:val="en-GB"/>
        </w:rPr>
        <w:t xml:space="preserve"> </w:t>
      </w:r>
      <w:r w:rsidR="00642D92">
        <w:rPr>
          <w:rFonts w:ascii="Seaford" w:hAnsi="Seaford"/>
          <w:sz w:val="22"/>
          <w:szCs w:val="22"/>
          <w:lang w:val="en-GB"/>
        </w:rPr>
        <w:t>is important and will build support from participants to supply additional information</w:t>
      </w:r>
      <w:r w:rsidR="0017620F">
        <w:rPr>
          <w:rFonts w:ascii="Seaford" w:hAnsi="Seaford"/>
          <w:sz w:val="22"/>
          <w:szCs w:val="22"/>
          <w:lang w:val="en-GB"/>
        </w:rPr>
        <w:t>.</w:t>
      </w:r>
      <w:r w:rsidR="0061549C" w:rsidRPr="0061549C">
        <w:rPr>
          <w:rFonts w:ascii="Seaford" w:hAnsi="Seaford"/>
          <w:sz w:val="22"/>
          <w:szCs w:val="22"/>
          <w:lang w:val="en-GB"/>
        </w:rPr>
        <w:t xml:space="preserve"> </w:t>
      </w:r>
      <w:r w:rsidR="0061549C">
        <w:rPr>
          <w:rFonts w:ascii="Seaford" w:hAnsi="Seaford"/>
          <w:sz w:val="22"/>
          <w:szCs w:val="22"/>
          <w:lang w:val="en-GB"/>
        </w:rPr>
        <w:t>ERANZ agrees with and supports the consultation benefits laid out in paragraph 3.7, this should improve the information requests for all involved</w:t>
      </w:r>
      <w:r w:rsidR="006450AE">
        <w:rPr>
          <w:rFonts w:ascii="Seaford" w:hAnsi="Seaford"/>
          <w:sz w:val="22"/>
          <w:szCs w:val="22"/>
          <w:lang w:val="en-GB"/>
        </w:rPr>
        <w:t xml:space="preserve"> regardless of </w:t>
      </w:r>
      <w:r w:rsidR="002046D9">
        <w:rPr>
          <w:rFonts w:ascii="Seaford" w:hAnsi="Seaford"/>
          <w:sz w:val="22"/>
          <w:szCs w:val="22"/>
          <w:lang w:val="en-GB"/>
        </w:rPr>
        <w:t>the mechanism</w:t>
      </w:r>
      <w:r w:rsidR="006450AE">
        <w:rPr>
          <w:rFonts w:ascii="Seaford" w:hAnsi="Seaford"/>
          <w:sz w:val="22"/>
          <w:szCs w:val="22"/>
          <w:lang w:val="en-GB"/>
        </w:rPr>
        <w:t xml:space="preserve"> the Authority </w:t>
      </w:r>
      <w:r w:rsidR="002046D9">
        <w:rPr>
          <w:rFonts w:ascii="Seaford" w:hAnsi="Seaford"/>
          <w:sz w:val="22"/>
          <w:szCs w:val="22"/>
          <w:lang w:val="en-GB"/>
        </w:rPr>
        <w:t>uses to request</w:t>
      </w:r>
      <w:r w:rsidR="006450AE">
        <w:rPr>
          <w:rFonts w:ascii="Seaford" w:hAnsi="Seaford"/>
          <w:sz w:val="22"/>
          <w:szCs w:val="22"/>
          <w:lang w:val="en-GB"/>
        </w:rPr>
        <w:t xml:space="preserve"> this information. </w:t>
      </w:r>
      <w:r w:rsidR="0058455F">
        <w:rPr>
          <w:rFonts w:ascii="Seaford" w:hAnsi="Seaford"/>
          <w:sz w:val="22"/>
          <w:szCs w:val="22"/>
          <w:lang w:val="en-GB"/>
        </w:rPr>
        <w:t>For clarification</w:t>
      </w:r>
      <w:r w:rsidR="00372C3B">
        <w:rPr>
          <w:rFonts w:ascii="Seaford" w:hAnsi="Seaford"/>
          <w:sz w:val="22"/>
          <w:szCs w:val="22"/>
          <w:lang w:val="en-GB"/>
        </w:rPr>
        <w:t xml:space="preserve">, </w:t>
      </w:r>
      <w:r w:rsidR="00F7504C">
        <w:rPr>
          <w:rFonts w:ascii="Seaford" w:hAnsi="Seaford"/>
          <w:sz w:val="22"/>
          <w:szCs w:val="22"/>
          <w:lang w:val="en-GB"/>
        </w:rPr>
        <w:t xml:space="preserve">in paragraph 3.5 </w:t>
      </w:r>
      <w:r w:rsidR="00372C3B">
        <w:rPr>
          <w:rFonts w:ascii="Seaford" w:hAnsi="Seaford"/>
          <w:sz w:val="22"/>
          <w:szCs w:val="22"/>
          <w:lang w:val="en-GB"/>
        </w:rPr>
        <w:t>we not</w:t>
      </w:r>
      <w:r w:rsidR="0058455F">
        <w:rPr>
          <w:rFonts w:ascii="Seaford" w:hAnsi="Seaford"/>
          <w:sz w:val="22"/>
          <w:szCs w:val="22"/>
          <w:lang w:val="en-GB"/>
        </w:rPr>
        <w:t>e</w:t>
      </w:r>
      <w:r w:rsidR="00372C3B">
        <w:rPr>
          <w:rFonts w:ascii="Seaford" w:hAnsi="Seaford"/>
          <w:sz w:val="22"/>
          <w:szCs w:val="22"/>
          <w:lang w:val="en-GB"/>
        </w:rPr>
        <w:t xml:space="preserve"> the assessment of </w:t>
      </w:r>
      <w:r w:rsidR="0058455F">
        <w:rPr>
          <w:rFonts w:ascii="Seaford" w:hAnsi="Seaford"/>
          <w:sz w:val="22"/>
          <w:szCs w:val="22"/>
          <w:lang w:val="en-GB"/>
        </w:rPr>
        <w:t xml:space="preserve">“net benefit” undertaken by </w:t>
      </w:r>
      <w:r w:rsidR="00372C3B">
        <w:rPr>
          <w:rFonts w:ascii="Seaford" w:hAnsi="Seaford"/>
          <w:sz w:val="22"/>
          <w:szCs w:val="22"/>
          <w:lang w:val="en-GB"/>
        </w:rPr>
        <w:t>the Authority</w:t>
      </w:r>
      <w:r w:rsidR="0058455F">
        <w:rPr>
          <w:rFonts w:ascii="Seaford" w:hAnsi="Seaford"/>
          <w:sz w:val="22"/>
          <w:szCs w:val="22"/>
          <w:lang w:val="en-GB"/>
        </w:rPr>
        <w:t xml:space="preserve"> should include </w:t>
      </w:r>
      <w:r w:rsidR="0034479E">
        <w:rPr>
          <w:rFonts w:ascii="Seaford" w:hAnsi="Seaford"/>
          <w:sz w:val="22"/>
          <w:szCs w:val="22"/>
          <w:lang w:val="en-GB"/>
        </w:rPr>
        <w:t xml:space="preserve">the benefits to </w:t>
      </w:r>
      <w:r w:rsidR="0058455F">
        <w:rPr>
          <w:rFonts w:ascii="Seaford" w:hAnsi="Seaford"/>
          <w:sz w:val="22"/>
          <w:szCs w:val="22"/>
          <w:lang w:val="en-GB"/>
        </w:rPr>
        <w:t>everyone in the industry</w:t>
      </w:r>
      <w:r w:rsidR="0034479E">
        <w:rPr>
          <w:rFonts w:ascii="Seaford" w:hAnsi="Seaford"/>
          <w:sz w:val="22"/>
          <w:szCs w:val="22"/>
          <w:lang w:val="en-GB"/>
        </w:rPr>
        <w:t>, not just the benefit to the Authority.</w:t>
      </w:r>
      <w:r w:rsidR="00B855B7">
        <w:rPr>
          <w:rFonts w:ascii="Seaford" w:hAnsi="Seaford"/>
          <w:sz w:val="22"/>
          <w:szCs w:val="22"/>
          <w:lang w:val="en-GB"/>
        </w:rPr>
        <w:t xml:space="preserve"> </w:t>
      </w:r>
    </w:p>
    <w:p w14:paraId="2F508D5C" w14:textId="404BBC31" w:rsidR="0034479E" w:rsidRDefault="0034479E" w:rsidP="00DE74D0">
      <w:pPr>
        <w:rPr>
          <w:rFonts w:ascii="Seaford" w:hAnsi="Seaford"/>
          <w:sz w:val="22"/>
          <w:szCs w:val="22"/>
          <w:lang w:val="en-GB"/>
        </w:rPr>
      </w:pPr>
    </w:p>
    <w:p w14:paraId="5ED84FED" w14:textId="77777777" w:rsidR="007D312A" w:rsidRPr="007D312A" w:rsidRDefault="007D312A" w:rsidP="007D312A">
      <w:pPr>
        <w:rPr>
          <w:rFonts w:ascii="Seaford" w:hAnsi="Seaford"/>
          <w:i/>
          <w:iCs/>
          <w:sz w:val="22"/>
          <w:szCs w:val="22"/>
          <w:lang w:val="en-GB"/>
        </w:rPr>
      </w:pPr>
      <w:r w:rsidRPr="007D312A">
        <w:rPr>
          <w:rFonts w:ascii="Seaford" w:hAnsi="Seaford"/>
          <w:i/>
          <w:iCs/>
          <w:sz w:val="22"/>
          <w:szCs w:val="22"/>
          <w:lang w:val="en-GB"/>
        </w:rPr>
        <w:t>Do you agree the benefits of the proposed amendment outweigh its costs?</w:t>
      </w:r>
    </w:p>
    <w:p w14:paraId="347F7F5D" w14:textId="77777777" w:rsidR="0034479E" w:rsidRDefault="0034479E" w:rsidP="00DE74D0">
      <w:pPr>
        <w:rPr>
          <w:rFonts w:ascii="Seaford" w:hAnsi="Seaford"/>
          <w:sz w:val="22"/>
          <w:szCs w:val="22"/>
          <w:lang w:val="en-GB"/>
        </w:rPr>
      </w:pPr>
    </w:p>
    <w:p w14:paraId="2F2EEDB4" w14:textId="5D902CF1" w:rsidR="00870E3C" w:rsidRDefault="00AA6D76" w:rsidP="00DE74D0">
      <w:pPr>
        <w:rPr>
          <w:rFonts w:ascii="Seaford" w:hAnsi="Seaford"/>
          <w:sz w:val="22"/>
          <w:szCs w:val="22"/>
          <w:lang w:val="en-GB"/>
        </w:rPr>
      </w:pPr>
      <w:r>
        <w:rPr>
          <w:rFonts w:ascii="Seaford" w:hAnsi="Seaford"/>
          <w:sz w:val="22"/>
          <w:szCs w:val="22"/>
          <w:lang w:val="en-GB"/>
        </w:rPr>
        <w:t xml:space="preserve">ERANZ </w:t>
      </w:r>
      <w:r w:rsidR="0007184C">
        <w:rPr>
          <w:rFonts w:ascii="Seaford" w:hAnsi="Seaford"/>
          <w:sz w:val="22"/>
          <w:szCs w:val="22"/>
          <w:lang w:val="en-GB"/>
        </w:rPr>
        <w:t xml:space="preserve">has not undertaken an exercise to quantify the relative costs and benefits of the proposed Code amendments. </w:t>
      </w:r>
      <w:r w:rsidR="00320DB5">
        <w:rPr>
          <w:rFonts w:ascii="Seaford" w:hAnsi="Seaford"/>
          <w:sz w:val="22"/>
          <w:szCs w:val="22"/>
          <w:lang w:val="en-GB"/>
        </w:rPr>
        <w:t>Our members consider the</w:t>
      </w:r>
      <w:r w:rsidR="00EA07D5">
        <w:rPr>
          <w:rFonts w:ascii="Seaford" w:hAnsi="Seaford"/>
          <w:sz w:val="22"/>
          <w:szCs w:val="22"/>
          <w:lang w:val="en-GB"/>
        </w:rPr>
        <w:t xml:space="preserve"> </w:t>
      </w:r>
      <w:r w:rsidR="00BF4736">
        <w:rPr>
          <w:rFonts w:ascii="Seaford" w:hAnsi="Seaford"/>
          <w:sz w:val="22"/>
          <w:szCs w:val="22"/>
          <w:lang w:val="en-GB"/>
        </w:rPr>
        <w:t>supply of quality information to the Authority is as much about being good industry participants who want to contribute to</w:t>
      </w:r>
      <w:r w:rsidR="00D82DA0">
        <w:rPr>
          <w:rFonts w:ascii="Seaford" w:hAnsi="Seaford"/>
          <w:sz w:val="22"/>
          <w:szCs w:val="22"/>
          <w:lang w:val="en-GB"/>
        </w:rPr>
        <w:t xml:space="preserve"> better-informed</w:t>
      </w:r>
      <w:r w:rsidR="00BF4736">
        <w:rPr>
          <w:rFonts w:ascii="Seaford" w:hAnsi="Seaford"/>
          <w:sz w:val="22"/>
          <w:szCs w:val="22"/>
          <w:lang w:val="en-GB"/>
        </w:rPr>
        <w:t xml:space="preserve"> </w:t>
      </w:r>
      <w:r w:rsidR="00D82DA0">
        <w:rPr>
          <w:rFonts w:ascii="Seaford" w:hAnsi="Seaford"/>
          <w:sz w:val="22"/>
          <w:szCs w:val="22"/>
          <w:lang w:val="en-GB"/>
        </w:rPr>
        <w:t>regulator, decision-makers</w:t>
      </w:r>
      <w:r w:rsidR="008129EB">
        <w:rPr>
          <w:rFonts w:ascii="Seaford" w:hAnsi="Seaford"/>
          <w:sz w:val="22"/>
          <w:szCs w:val="22"/>
          <w:lang w:val="en-GB"/>
        </w:rPr>
        <w:t>,</w:t>
      </w:r>
      <w:r w:rsidR="00D82DA0">
        <w:rPr>
          <w:rFonts w:ascii="Seaford" w:hAnsi="Seaford"/>
          <w:sz w:val="22"/>
          <w:szCs w:val="22"/>
          <w:lang w:val="en-GB"/>
        </w:rPr>
        <w:t xml:space="preserve"> and stakeholders.</w:t>
      </w:r>
    </w:p>
    <w:p w14:paraId="5E2B6455" w14:textId="41B50997" w:rsidR="004D6F5F" w:rsidRDefault="004D6F5F" w:rsidP="00DE74D0">
      <w:pPr>
        <w:rPr>
          <w:rFonts w:ascii="Seaford" w:hAnsi="Seaford"/>
          <w:sz w:val="22"/>
          <w:szCs w:val="22"/>
          <w:lang w:val="en-GB"/>
        </w:rPr>
      </w:pPr>
    </w:p>
    <w:p w14:paraId="593DB13B" w14:textId="74D1B298" w:rsidR="004D6F5F" w:rsidRDefault="00B34E5C" w:rsidP="00DE74D0">
      <w:pPr>
        <w:rPr>
          <w:rFonts w:ascii="Seaford" w:hAnsi="Seaford"/>
          <w:sz w:val="22"/>
          <w:szCs w:val="22"/>
          <w:lang w:val="en-GB"/>
        </w:rPr>
      </w:pPr>
      <w:r>
        <w:rPr>
          <w:rFonts w:ascii="Seaford" w:hAnsi="Seaford"/>
          <w:sz w:val="22"/>
          <w:szCs w:val="22"/>
          <w:lang w:val="en-GB"/>
        </w:rPr>
        <w:t xml:space="preserve">As participants, there will be efficiency gains from receiving regular, </w:t>
      </w:r>
      <w:proofErr w:type="gramStart"/>
      <w:r>
        <w:rPr>
          <w:rFonts w:ascii="Seaford" w:hAnsi="Seaford"/>
          <w:sz w:val="22"/>
          <w:szCs w:val="22"/>
          <w:lang w:val="en-GB"/>
        </w:rPr>
        <w:t>standardised</w:t>
      </w:r>
      <w:proofErr w:type="gramEnd"/>
      <w:r>
        <w:rPr>
          <w:rFonts w:ascii="Seaford" w:hAnsi="Seaford"/>
          <w:sz w:val="22"/>
          <w:szCs w:val="22"/>
          <w:lang w:val="en-GB"/>
        </w:rPr>
        <w:t xml:space="preserve"> and predictable requests for information.</w:t>
      </w:r>
    </w:p>
    <w:p w14:paraId="61665682" w14:textId="77777777" w:rsidR="00870E3C" w:rsidRDefault="00870E3C" w:rsidP="00DE74D0">
      <w:pPr>
        <w:rPr>
          <w:rFonts w:ascii="Seaford" w:hAnsi="Seaford"/>
          <w:sz w:val="22"/>
          <w:szCs w:val="22"/>
          <w:lang w:val="en-GB"/>
        </w:rPr>
      </w:pPr>
    </w:p>
    <w:p w14:paraId="434B2CB0" w14:textId="77777777" w:rsidR="000342B9" w:rsidRPr="000342B9" w:rsidRDefault="000342B9" w:rsidP="000342B9">
      <w:pPr>
        <w:rPr>
          <w:rFonts w:ascii="Seaford" w:hAnsi="Seaford"/>
          <w:i/>
          <w:iCs/>
          <w:sz w:val="22"/>
          <w:szCs w:val="22"/>
          <w:lang w:val="en-GB"/>
        </w:rPr>
      </w:pPr>
      <w:r w:rsidRPr="000342B9">
        <w:rPr>
          <w:rFonts w:ascii="Seaford" w:hAnsi="Seaford"/>
          <w:i/>
          <w:iCs/>
          <w:sz w:val="22"/>
          <w:szCs w:val="22"/>
          <w:lang w:val="en-GB"/>
        </w:rPr>
        <w:t>Do you agree the proposed amendment is preferable to the other options? If you disagree, please explain your preferred option in terms consistent with the Authority’s statutory objective in section 15 of the Electricity Industry Act 2010.</w:t>
      </w:r>
    </w:p>
    <w:p w14:paraId="594DD51C" w14:textId="35FE44EA" w:rsidR="00EB0A10" w:rsidRDefault="00EB0A10" w:rsidP="00DE74D0">
      <w:pPr>
        <w:rPr>
          <w:rFonts w:ascii="Seaford" w:hAnsi="Seaford"/>
          <w:sz w:val="22"/>
          <w:szCs w:val="22"/>
          <w:lang w:val="en-GB"/>
        </w:rPr>
      </w:pPr>
    </w:p>
    <w:p w14:paraId="76A68AD7" w14:textId="2E04C3BD" w:rsidR="000342B9" w:rsidRDefault="001944B8" w:rsidP="00DE74D0">
      <w:pPr>
        <w:rPr>
          <w:rFonts w:ascii="Seaford" w:hAnsi="Seaford"/>
          <w:sz w:val="22"/>
          <w:szCs w:val="22"/>
          <w:lang w:val="en-GB"/>
        </w:rPr>
      </w:pPr>
      <w:r>
        <w:rPr>
          <w:rFonts w:ascii="Seaford" w:hAnsi="Seaford"/>
          <w:sz w:val="22"/>
          <w:szCs w:val="22"/>
          <w:lang w:val="en-GB"/>
        </w:rPr>
        <w:t>No</w:t>
      </w:r>
      <w:r w:rsidR="00EB720C">
        <w:rPr>
          <w:rFonts w:ascii="Seaford" w:hAnsi="Seaford"/>
          <w:sz w:val="22"/>
          <w:szCs w:val="22"/>
          <w:lang w:val="en-GB"/>
        </w:rPr>
        <w:t xml:space="preserve">. The proposed amendment is </w:t>
      </w:r>
      <w:r>
        <w:rPr>
          <w:rFonts w:ascii="Seaford" w:hAnsi="Seaford"/>
          <w:sz w:val="22"/>
          <w:szCs w:val="22"/>
          <w:lang w:val="en-GB"/>
        </w:rPr>
        <w:t>not our</w:t>
      </w:r>
      <w:r w:rsidR="00EB720C">
        <w:rPr>
          <w:rFonts w:ascii="Seaford" w:hAnsi="Seaford"/>
          <w:sz w:val="22"/>
          <w:szCs w:val="22"/>
          <w:lang w:val="en-GB"/>
        </w:rPr>
        <w:t xml:space="preserve"> preferred option out of the options</w:t>
      </w:r>
      <w:r w:rsidR="00F910E9">
        <w:rPr>
          <w:rFonts w:ascii="Seaford" w:hAnsi="Seaford"/>
          <w:sz w:val="22"/>
          <w:szCs w:val="22"/>
          <w:lang w:val="en-GB"/>
        </w:rPr>
        <w:t xml:space="preserve"> presented</w:t>
      </w:r>
      <w:r w:rsidR="00EB720C">
        <w:rPr>
          <w:rFonts w:ascii="Seaford" w:hAnsi="Seaford"/>
          <w:sz w:val="22"/>
          <w:szCs w:val="22"/>
          <w:lang w:val="en-GB"/>
        </w:rPr>
        <w:t xml:space="preserve"> because</w:t>
      </w:r>
      <w:r w:rsidR="00F910E9">
        <w:rPr>
          <w:rFonts w:ascii="Seaford" w:hAnsi="Seaford"/>
          <w:sz w:val="22"/>
          <w:szCs w:val="22"/>
          <w:lang w:val="en-GB"/>
        </w:rPr>
        <w:t xml:space="preserve"> </w:t>
      </w:r>
      <w:r w:rsidR="00810278">
        <w:rPr>
          <w:rFonts w:ascii="Seaford" w:hAnsi="Seaford"/>
          <w:sz w:val="22"/>
          <w:szCs w:val="22"/>
          <w:lang w:val="en-GB"/>
        </w:rPr>
        <w:t>the Authority can achieve its objectives using its current information gathering powers.</w:t>
      </w:r>
    </w:p>
    <w:p w14:paraId="07D5F4D1" w14:textId="262E1097" w:rsidR="00810278" w:rsidRDefault="00810278" w:rsidP="00DE74D0">
      <w:pPr>
        <w:rPr>
          <w:rFonts w:ascii="Seaford" w:hAnsi="Seaford"/>
          <w:sz w:val="22"/>
          <w:szCs w:val="22"/>
          <w:lang w:val="en-GB"/>
        </w:rPr>
      </w:pPr>
    </w:p>
    <w:p w14:paraId="503F26A7" w14:textId="59FACE3F" w:rsidR="001C126D" w:rsidRDefault="001C126D" w:rsidP="00DE74D0">
      <w:pPr>
        <w:rPr>
          <w:rFonts w:ascii="Seaford" w:hAnsi="Seaford"/>
          <w:sz w:val="22"/>
          <w:szCs w:val="22"/>
          <w:lang w:val="en-GB"/>
        </w:rPr>
      </w:pPr>
      <w:r>
        <w:rPr>
          <w:rFonts w:ascii="Seaford" w:hAnsi="Seaford"/>
          <w:sz w:val="22"/>
          <w:szCs w:val="22"/>
          <w:lang w:val="en-GB"/>
        </w:rPr>
        <w:t>The Authority</w:t>
      </w:r>
      <w:r w:rsidR="00BC6613">
        <w:rPr>
          <w:rFonts w:ascii="Seaford" w:hAnsi="Seaford"/>
          <w:sz w:val="22"/>
          <w:szCs w:val="22"/>
          <w:lang w:val="en-GB"/>
        </w:rPr>
        <w:t xml:space="preserve">’s statutory powers for information gathering </w:t>
      </w:r>
      <w:r w:rsidR="00E95BA7">
        <w:rPr>
          <w:rFonts w:ascii="Seaford" w:hAnsi="Seaford"/>
          <w:sz w:val="22"/>
          <w:szCs w:val="22"/>
          <w:lang w:val="en-GB"/>
        </w:rPr>
        <w:t>are</w:t>
      </w:r>
      <w:r w:rsidR="00BC6613">
        <w:rPr>
          <w:rFonts w:ascii="Seaford" w:hAnsi="Seaford"/>
          <w:sz w:val="22"/>
          <w:szCs w:val="22"/>
          <w:lang w:val="en-GB"/>
        </w:rPr>
        <w:t xml:space="preserve"> provided by Parliament through section 46 of the Act</w:t>
      </w:r>
      <w:r w:rsidR="00124017">
        <w:rPr>
          <w:rFonts w:ascii="Seaford" w:hAnsi="Seaford"/>
          <w:sz w:val="22"/>
          <w:szCs w:val="22"/>
          <w:lang w:val="en-GB"/>
        </w:rPr>
        <w:t>. It is unclear how this aligns with th</w:t>
      </w:r>
      <w:r w:rsidR="00631EFE">
        <w:rPr>
          <w:rFonts w:ascii="Seaford" w:hAnsi="Seaford"/>
          <w:sz w:val="22"/>
          <w:szCs w:val="22"/>
          <w:lang w:val="en-GB"/>
        </w:rPr>
        <w:t xml:space="preserve">e </w:t>
      </w:r>
      <w:r w:rsidR="00DE766D">
        <w:rPr>
          <w:rFonts w:ascii="Seaford" w:hAnsi="Seaford"/>
          <w:sz w:val="22"/>
          <w:szCs w:val="22"/>
          <w:lang w:val="en-GB"/>
        </w:rPr>
        <w:t>proposal to</w:t>
      </w:r>
      <w:r w:rsidR="00124017">
        <w:rPr>
          <w:rFonts w:ascii="Seaford" w:hAnsi="Seaford"/>
          <w:sz w:val="22"/>
          <w:szCs w:val="22"/>
          <w:lang w:val="en-GB"/>
        </w:rPr>
        <w:t xml:space="preserve"> amend the Code to </w:t>
      </w:r>
      <w:r w:rsidR="00E95BA7">
        <w:rPr>
          <w:rFonts w:ascii="Seaford" w:hAnsi="Seaford"/>
          <w:sz w:val="22"/>
          <w:szCs w:val="22"/>
          <w:lang w:val="en-GB"/>
        </w:rPr>
        <w:t xml:space="preserve">provide </w:t>
      </w:r>
      <w:r w:rsidR="00DE766D">
        <w:rPr>
          <w:rFonts w:ascii="Seaford" w:hAnsi="Seaford"/>
          <w:sz w:val="22"/>
          <w:szCs w:val="22"/>
          <w:lang w:val="en-GB"/>
        </w:rPr>
        <w:t>the Authority</w:t>
      </w:r>
      <w:r w:rsidR="00E95BA7">
        <w:rPr>
          <w:rFonts w:ascii="Seaford" w:hAnsi="Seaford"/>
          <w:sz w:val="22"/>
          <w:szCs w:val="22"/>
          <w:lang w:val="en-GB"/>
        </w:rPr>
        <w:t xml:space="preserve"> with </w:t>
      </w:r>
      <w:r w:rsidR="00B57ABF">
        <w:rPr>
          <w:rFonts w:ascii="Seaford" w:hAnsi="Seaford"/>
          <w:sz w:val="22"/>
          <w:szCs w:val="22"/>
          <w:lang w:val="en-GB"/>
        </w:rPr>
        <w:t xml:space="preserve">new </w:t>
      </w:r>
      <w:r w:rsidR="00E95BA7">
        <w:rPr>
          <w:rFonts w:ascii="Seaford" w:hAnsi="Seaford"/>
          <w:sz w:val="22"/>
          <w:szCs w:val="22"/>
          <w:lang w:val="en-GB"/>
        </w:rPr>
        <w:t>additional information gathering powers that were not foreseen or considered by Parliament.</w:t>
      </w:r>
      <w:r w:rsidR="00DE766D">
        <w:rPr>
          <w:rFonts w:ascii="Seaford" w:hAnsi="Seaford"/>
          <w:sz w:val="22"/>
          <w:szCs w:val="22"/>
          <w:lang w:val="en-GB"/>
        </w:rPr>
        <w:t xml:space="preserve"> </w:t>
      </w:r>
      <w:r w:rsidR="008A78AE">
        <w:rPr>
          <w:rFonts w:ascii="Seaford" w:hAnsi="Seaford"/>
          <w:sz w:val="22"/>
          <w:szCs w:val="22"/>
          <w:lang w:val="en-GB"/>
        </w:rPr>
        <w:t>For example</w:t>
      </w:r>
      <w:r w:rsidR="00DE766D">
        <w:rPr>
          <w:rFonts w:ascii="Seaford" w:hAnsi="Seaford"/>
          <w:sz w:val="22"/>
          <w:szCs w:val="22"/>
          <w:lang w:val="en-GB"/>
        </w:rPr>
        <w:t xml:space="preserve">, the proposed amendment </w:t>
      </w:r>
      <w:r w:rsidR="00B16635">
        <w:rPr>
          <w:rFonts w:ascii="Seaford" w:hAnsi="Seaford"/>
          <w:sz w:val="22"/>
          <w:szCs w:val="22"/>
          <w:lang w:val="en-GB"/>
        </w:rPr>
        <w:t>dilutes protections given to industry participants under the Act</w:t>
      </w:r>
      <w:r w:rsidR="00622CC3">
        <w:rPr>
          <w:rFonts w:ascii="Seaford" w:hAnsi="Seaford"/>
          <w:sz w:val="22"/>
          <w:szCs w:val="22"/>
          <w:lang w:val="en-GB"/>
        </w:rPr>
        <w:t>,</w:t>
      </w:r>
      <w:r w:rsidR="003E21C7">
        <w:rPr>
          <w:rFonts w:ascii="Seaford" w:hAnsi="Seaford"/>
          <w:sz w:val="22"/>
          <w:szCs w:val="22"/>
          <w:lang w:val="en-GB"/>
        </w:rPr>
        <w:t xml:space="preserve"> such as legal professional privilege under section 48.</w:t>
      </w:r>
    </w:p>
    <w:p w14:paraId="55543C5F" w14:textId="1B9CE341" w:rsidR="00DA3D32" w:rsidRDefault="00DA3D32" w:rsidP="00DE74D0">
      <w:pPr>
        <w:rPr>
          <w:rFonts w:ascii="Seaford" w:hAnsi="Seaford"/>
          <w:sz w:val="22"/>
          <w:szCs w:val="22"/>
          <w:lang w:val="en-GB"/>
        </w:rPr>
      </w:pPr>
    </w:p>
    <w:p w14:paraId="6CC6E6D0" w14:textId="2B7F9EC6" w:rsidR="00DA3D32" w:rsidRDefault="00DA3D32" w:rsidP="00DE74D0">
      <w:pPr>
        <w:rPr>
          <w:rFonts w:ascii="Seaford" w:hAnsi="Seaford"/>
          <w:sz w:val="22"/>
          <w:szCs w:val="22"/>
          <w:lang w:val="en-GB"/>
        </w:rPr>
      </w:pPr>
      <w:r>
        <w:rPr>
          <w:rFonts w:ascii="Seaford" w:hAnsi="Seaford"/>
          <w:sz w:val="22"/>
          <w:szCs w:val="22"/>
          <w:lang w:val="en-GB"/>
        </w:rPr>
        <w:t>ERANZ’s supports “O</w:t>
      </w:r>
      <w:r w:rsidRPr="00DA3D32">
        <w:rPr>
          <w:rFonts w:ascii="Seaford" w:hAnsi="Seaford"/>
          <w:sz w:val="22"/>
          <w:szCs w:val="22"/>
          <w:lang w:val="en-GB"/>
        </w:rPr>
        <w:t>ption 2</w:t>
      </w:r>
      <w:r>
        <w:rPr>
          <w:rFonts w:ascii="Seaford" w:hAnsi="Seaford"/>
          <w:sz w:val="22"/>
          <w:szCs w:val="22"/>
          <w:lang w:val="en-GB"/>
        </w:rPr>
        <w:t>”</w:t>
      </w:r>
      <w:r w:rsidRPr="00DA3D32">
        <w:rPr>
          <w:rFonts w:ascii="Seaford" w:hAnsi="Seaford"/>
          <w:sz w:val="22"/>
          <w:szCs w:val="22"/>
          <w:lang w:val="en-GB"/>
        </w:rPr>
        <w:t xml:space="preserve"> in the </w:t>
      </w:r>
      <w:r>
        <w:rPr>
          <w:rFonts w:ascii="Seaford" w:hAnsi="Seaford"/>
          <w:sz w:val="22"/>
          <w:szCs w:val="22"/>
          <w:lang w:val="en-GB"/>
        </w:rPr>
        <w:t xml:space="preserve">discussion document. </w:t>
      </w:r>
      <w:r w:rsidR="006D1B75">
        <w:rPr>
          <w:rFonts w:ascii="Seaford" w:hAnsi="Seaford"/>
          <w:sz w:val="22"/>
          <w:szCs w:val="22"/>
          <w:lang w:val="en-GB"/>
        </w:rPr>
        <w:t xml:space="preserve">We prefer </w:t>
      </w:r>
      <w:r w:rsidRPr="00DA3D32">
        <w:rPr>
          <w:rFonts w:ascii="Seaford" w:hAnsi="Seaford"/>
          <w:sz w:val="22"/>
          <w:szCs w:val="22"/>
          <w:lang w:val="en-GB"/>
        </w:rPr>
        <w:t xml:space="preserve">the Authority continue to use </w:t>
      </w:r>
      <w:r w:rsidR="006D1B75">
        <w:rPr>
          <w:rFonts w:ascii="Seaford" w:hAnsi="Seaford"/>
          <w:sz w:val="22"/>
          <w:szCs w:val="22"/>
          <w:lang w:val="en-GB"/>
        </w:rPr>
        <w:t>its</w:t>
      </w:r>
      <w:r w:rsidRPr="00DA3D32">
        <w:rPr>
          <w:rFonts w:ascii="Seaford" w:hAnsi="Seaford"/>
          <w:sz w:val="22"/>
          <w:szCs w:val="22"/>
          <w:lang w:val="en-GB"/>
        </w:rPr>
        <w:t xml:space="preserve"> existing tools</w:t>
      </w:r>
      <w:r w:rsidR="00622CC3">
        <w:rPr>
          <w:rFonts w:ascii="Seaford" w:hAnsi="Seaford"/>
          <w:sz w:val="22"/>
          <w:szCs w:val="22"/>
          <w:lang w:val="en-GB"/>
        </w:rPr>
        <w:t>. Still, we</w:t>
      </w:r>
      <w:r w:rsidR="00AC19F8">
        <w:rPr>
          <w:rFonts w:ascii="Seaford" w:hAnsi="Seaford"/>
          <w:sz w:val="22"/>
          <w:szCs w:val="22"/>
          <w:lang w:val="en-GB"/>
        </w:rPr>
        <w:t xml:space="preserve"> </w:t>
      </w:r>
      <w:r w:rsidR="006D1B75">
        <w:rPr>
          <w:rFonts w:ascii="Seaford" w:hAnsi="Seaford"/>
          <w:sz w:val="22"/>
          <w:szCs w:val="22"/>
          <w:lang w:val="en-GB"/>
        </w:rPr>
        <w:t xml:space="preserve">note the Authority’s </w:t>
      </w:r>
      <w:r w:rsidR="005D5437">
        <w:rPr>
          <w:rFonts w:ascii="Seaford" w:hAnsi="Seaford"/>
          <w:sz w:val="22"/>
          <w:szCs w:val="22"/>
          <w:lang w:val="en-GB"/>
        </w:rPr>
        <w:t>desire to improve its information gathering by consulting with industry participants</w:t>
      </w:r>
      <w:r w:rsidR="00697700">
        <w:rPr>
          <w:rFonts w:ascii="Seaford" w:hAnsi="Seaford"/>
          <w:sz w:val="22"/>
          <w:szCs w:val="22"/>
          <w:lang w:val="en-GB"/>
        </w:rPr>
        <w:t xml:space="preserve"> beforehand</w:t>
      </w:r>
      <w:r w:rsidRPr="00DA3D32">
        <w:rPr>
          <w:rFonts w:ascii="Seaford" w:hAnsi="Seaford"/>
          <w:sz w:val="22"/>
          <w:szCs w:val="22"/>
          <w:lang w:val="en-GB"/>
        </w:rPr>
        <w:t xml:space="preserve"> </w:t>
      </w:r>
      <w:r w:rsidR="00AC19F8">
        <w:rPr>
          <w:rFonts w:ascii="Seaford" w:hAnsi="Seaford"/>
          <w:sz w:val="22"/>
          <w:szCs w:val="22"/>
          <w:lang w:val="en-GB"/>
        </w:rPr>
        <w:t xml:space="preserve">and </w:t>
      </w:r>
      <w:r w:rsidRPr="00DA3D32">
        <w:rPr>
          <w:rFonts w:ascii="Seaford" w:hAnsi="Seaford"/>
          <w:sz w:val="22"/>
          <w:szCs w:val="22"/>
          <w:lang w:val="en-GB"/>
        </w:rPr>
        <w:t>assess</w:t>
      </w:r>
      <w:r w:rsidR="00622CC3">
        <w:rPr>
          <w:rFonts w:ascii="Seaford" w:hAnsi="Seaford"/>
          <w:sz w:val="22"/>
          <w:szCs w:val="22"/>
          <w:lang w:val="en-GB"/>
        </w:rPr>
        <w:t>ing</w:t>
      </w:r>
      <w:r w:rsidRPr="00DA3D32">
        <w:rPr>
          <w:rFonts w:ascii="Seaford" w:hAnsi="Seaford"/>
          <w:sz w:val="22"/>
          <w:szCs w:val="22"/>
          <w:lang w:val="en-GB"/>
        </w:rPr>
        <w:t xml:space="preserve"> the costs and benefits </w:t>
      </w:r>
      <w:r w:rsidR="00B52C36">
        <w:rPr>
          <w:rFonts w:ascii="Seaford" w:hAnsi="Seaford"/>
          <w:sz w:val="22"/>
          <w:szCs w:val="22"/>
          <w:lang w:val="en-GB"/>
        </w:rPr>
        <w:t>before</w:t>
      </w:r>
      <w:r w:rsidRPr="00DA3D32">
        <w:rPr>
          <w:rFonts w:ascii="Seaford" w:hAnsi="Seaford"/>
          <w:sz w:val="22"/>
          <w:szCs w:val="22"/>
          <w:lang w:val="en-GB"/>
        </w:rPr>
        <w:t xml:space="preserve"> </w:t>
      </w:r>
      <w:r w:rsidR="00AC19F8">
        <w:rPr>
          <w:rFonts w:ascii="Seaford" w:hAnsi="Seaford"/>
          <w:sz w:val="22"/>
          <w:szCs w:val="22"/>
          <w:lang w:val="en-GB"/>
        </w:rPr>
        <w:t>making</w:t>
      </w:r>
      <w:r w:rsidRPr="00DA3D32">
        <w:rPr>
          <w:rFonts w:ascii="Seaford" w:hAnsi="Seaford"/>
          <w:sz w:val="22"/>
          <w:szCs w:val="22"/>
          <w:lang w:val="en-GB"/>
        </w:rPr>
        <w:t xml:space="preserve"> ongoing or </w:t>
      </w:r>
      <w:r w:rsidR="00B52C36">
        <w:rPr>
          <w:rFonts w:ascii="Seaford" w:hAnsi="Seaford"/>
          <w:sz w:val="22"/>
          <w:szCs w:val="22"/>
          <w:lang w:val="en-GB"/>
        </w:rPr>
        <w:t>complex</w:t>
      </w:r>
      <w:r w:rsidRPr="00DA3D32">
        <w:rPr>
          <w:rFonts w:ascii="Seaford" w:hAnsi="Seaford"/>
          <w:sz w:val="22"/>
          <w:szCs w:val="22"/>
          <w:lang w:val="en-GB"/>
        </w:rPr>
        <w:t xml:space="preserve"> information request</w:t>
      </w:r>
      <w:r w:rsidR="00697700">
        <w:rPr>
          <w:rFonts w:ascii="Seaford" w:hAnsi="Seaford"/>
          <w:sz w:val="22"/>
          <w:szCs w:val="22"/>
          <w:lang w:val="en-GB"/>
        </w:rPr>
        <w:t>s</w:t>
      </w:r>
      <w:r w:rsidRPr="00DA3D32">
        <w:rPr>
          <w:rFonts w:ascii="Seaford" w:hAnsi="Seaford"/>
          <w:sz w:val="22"/>
          <w:szCs w:val="22"/>
          <w:lang w:val="en-GB"/>
        </w:rPr>
        <w:t>.</w:t>
      </w:r>
    </w:p>
    <w:p w14:paraId="3F640985" w14:textId="7BCE17A4" w:rsidR="000342B9" w:rsidRDefault="000342B9" w:rsidP="00DE74D0">
      <w:pPr>
        <w:rPr>
          <w:rFonts w:ascii="Seaford" w:hAnsi="Seaford"/>
          <w:sz w:val="22"/>
          <w:szCs w:val="22"/>
          <w:lang w:val="en-GB"/>
        </w:rPr>
      </w:pPr>
    </w:p>
    <w:p w14:paraId="76B30FA0" w14:textId="77777777" w:rsidR="00F910E9" w:rsidRPr="00F910E9" w:rsidRDefault="00F910E9" w:rsidP="00F910E9">
      <w:pPr>
        <w:rPr>
          <w:rFonts w:ascii="Seaford" w:hAnsi="Seaford"/>
          <w:i/>
          <w:iCs/>
          <w:sz w:val="22"/>
          <w:szCs w:val="22"/>
          <w:lang w:val="en-GB"/>
        </w:rPr>
      </w:pPr>
      <w:r w:rsidRPr="00F910E9">
        <w:rPr>
          <w:rFonts w:ascii="Seaford" w:hAnsi="Seaford"/>
          <w:i/>
          <w:iCs/>
          <w:sz w:val="22"/>
          <w:szCs w:val="22"/>
          <w:lang w:val="en-GB"/>
        </w:rPr>
        <w:t>Do you agree the Authority’s proposed amendment complies with section 32(1) of the Act?</w:t>
      </w:r>
    </w:p>
    <w:p w14:paraId="2C6DF719" w14:textId="77777777" w:rsidR="000342B9" w:rsidRDefault="000342B9" w:rsidP="00DE74D0">
      <w:pPr>
        <w:rPr>
          <w:rFonts w:ascii="Seaford" w:hAnsi="Seaford"/>
          <w:sz w:val="22"/>
          <w:szCs w:val="22"/>
          <w:lang w:val="en-GB"/>
        </w:rPr>
      </w:pPr>
    </w:p>
    <w:p w14:paraId="777DBC98" w14:textId="354F8EF4" w:rsidR="00EB0A10" w:rsidRDefault="00E12866" w:rsidP="00DE74D0">
      <w:pPr>
        <w:rPr>
          <w:rFonts w:ascii="Seaford" w:hAnsi="Seaford"/>
          <w:sz w:val="22"/>
          <w:szCs w:val="22"/>
          <w:lang w:val="en-GB"/>
        </w:rPr>
      </w:pPr>
      <w:r>
        <w:rPr>
          <w:rFonts w:ascii="Seaford" w:hAnsi="Seaford"/>
          <w:sz w:val="22"/>
          <w:szCs w:val="22"/>
          <w:lang w:val="en-GB"/>
        </w:rPr>
        <w:t xml:space="preserve">It appears the proposed amendment duplicates the information gathering powers already provided under section 46 of the Act. </w:t>
      </w:r>
    </w:p>
    <w:p w14:paraId="1DB7498F" w14:textId="77777777" w:rsidR="00336FF1" w:rsidRDefault="00336FF1" w:rsidP="00DE74D0">
      <w:pPr>
        <w:rPr>
          <w:rFonts w:ascii="Seaford" w:hAnsi="Seaford"/>
          <w:sz w:val="22"/>
          <w:szCs w:val="22"/>
          <w:lang w:val="en-GB"/>
        </w:rPr>
      </w:pPr>
    </w:p>
    <w:p w14:paraId="164A99A9" w14:textId="188825B6" w:rsidR="00DE74D0" w:rsidRDefault="00DE74D0" w:rsidP="00DE74D0">
      <w:pPr>
        <w:rPr>
          <w:rFonts w:ascii="Seaford" w:hAnsi="Seaford"/>
          <w:i/>
          <w:iCs/>
          <w:sz w:val="22"/>
          <w:szCs w:val="22"/>
          <w:lang w:val="en-GB"/>
        </w:rPr>
      </w:pPr>
      <w:r w:rsidRPr="00336FF1">
        <w:rPr>
          <w:rFonts w:ascii="Seaford" w:hAnsi="Seaford"/>
          <w:i/>
          <w:iCs/>
          <w:sz w:val="22"/>
          <w:szCs w:val="22"/>
          <w:lang w:val="en-GB"/>
        </w:rPr>
        <w:lastRenderedPageBreak/>
        <w:t>Do you have any comments on the drafting of the</w:t>
      </w:r>
      <w:r w:rsidR="00336FF1" w:rsidRPr="00336FF1">
        <w:rPr>
          <w:rFonts w:ascii="Seaford" w:hAnsi="Seaford"/>
          <w:i/>
          <w:iCs/>
          <w:sz w:val="22"/>
          <w:szCs w:val="22"/>
          <w:lang w:val="en-GB"/>
        </w:rPr>
        <w:t xml:space="preserve"> </w:t>
      </w:r>
      <w:r w:rsidRPr="00336FF1">
        <w:rPr>
          <w:rFonts w:ascii="Seaford" w:hAnsi="Seaford"/>
          <w:i/>
          <w:iCs/>
          <w:sz w:val="22"/>
          <w:szCs w:val="22"/>
          <w:lang w:val="en-GB"/>
        </w:rPr>
        <w:t>proposed amendment?</w:t>
      </w:r>
    </w:p>
    <w:p w14:paraId="3A1B7D7A" w14:textId="4BA97A4D" w:rsidR="00336FF1" w:rsidRDefault="00336FF1" w:rsidP="00DE74D0">
      <w:pPr>
        <w:rPr>
          <w:rFonts w:ascii="Seaford" w:hAnsi="Seaford"/>
          <w:sz w:val="22"/>
          <w:szCs w:val="22"/>
          <w:lang w:val="en-GB"/>
        </w:rPr>
      </w:pPr>
    </w:p>
    <w:p w14:paraId="3FC5B2AA" w14:textId="0CF07ED9" w:rsidR="00336FF1" w:rsidRPr="00336FF1" w:rsidRDefault="00DC4360" w:rsidP="00DE74D0">
      <w:pPr>
        <w:rPr>
          <w:rFonts w:ascii="Seaford" w:hAnsi="Seaford"/>
          <w:sz w:val="22"/>
          <w:szCs w:val="22"/>
          <w:lang w:val="en-GB"/>
        </w:rPr>
      </w:pPr>
      <w:r>
        <w:rPr>
          <w:rFonts w:ascii="Seaford" w:hAnsi="Seaford"/>
          <w:sz w:val="22"/>
          <w:szCs w:val="22"/>
          <w:lang w:val="en-GB"/>
        </w:rPr>
        <w:t>No further comments.</w:t>
      </w:r>
    </w:p>
    <w:sectPr w:rsidR="00336FF1" w:rsidRPr="00336FF1" w:rsidSect="00DC75CA">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0B0E" w14:textId="77777777" w:rsidR="00960ED8" w:rsidRDefault="00960ED8" w:rsidP="00DC75CA">
      <w:r>
        <w:separator/>
      </w:r>
    </w:p>
  </w:endnote>
  <w:endnote w:type="continuationSeparator" w:id="0">
    <w:p w14:paraId="272503D2" w14:textId="77777777" w:rsidR="00960ED8" w:rsidRDefault="00960ED8" w:rsidP="00DC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w:altName w:val="Seaford"/>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C8FE" w14:textId="77777777" w:rsidR="00960ED8" w:rsidRDefault="00960ED8" w:rsidP="00DC75CA">
      <w:r>
        <w:separator/>
      </w:r>
    </w:p>
  </w:footnote>
  <w:footnote w:type="continuationSeparator" w:id="0">
    <w:p w14:paraId="2801BF04" w14:textId="77777777" w:rsidR="00960ED8" w:rsidRDefault="00960ED8" w:rsidP="00DC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EF70" w14:textId="588932FF" w:rsidR="00DC75CA" w:rsidRDefault="00DC75CA">
    <w:pPr>
      <w:pStyle w:val="Header"/>
    </w:pPr>
    <w:r>
      <w:rPr>
        <w:noProof/>
      </w:rPr>
      <w:drawing>
        <wp:anchor distT="0" distB="0" distL="114300" distR="114300" simplePos="0" relativeHeight="251659264" behindDoc="0" locked="0" layoutInCell="1" allowOverlap="1" wp14:anchorId="2276402C" wp14:editId="73AE304D">
          <wp:simplePos x="0" y="0"/>
          <wp:positionH relativeFrom="margin">
            <wp:posOffset>3827925</wp:posOffset>
          </wp:positionH>
          <wp:positionV relativeFrom="paragraph">
            <wp:posOffset>1270</wp:posOffset>
          </wp:positionV>
          <wp:extent cx="2060294" cy="713557"/>
          <wp:effectExtent l="0" t="0" r="0" b="0"/>
          <wp:wrapNone/>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stretch>
                    <a:fillRect/>
                  </a:stretch>
                </pic:blipFill>
                <pic:spPr>
                  <a:xfrm>
                    <a:off x="0" y="0"/>
                    <a:ext cx="2060294" cy="7135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806"/>
    <w:multiLevelType w:val="multilevel"/>
    <w:tmpl w:val="F17C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742BC9"/>
    <w:multiLevelType w:val="multilevel"/>
    <w:tmpl w:val="DADE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EA"/>
    <w:rsid w:val="00026425"/>
    <w:rsid w:val="000342B9"/>
    <w:rsid w:val="00067724"/>
    <w:rsid w:val="0007184C"/>
    <w:rsid w:val="00095E67"/>
    <w:rsid w:val="000B7881"/>
    <w:rsid w:val="000C0D94"/>
    <w:rsid w:val="000C6704"/>
    <w:rsid w:val="000D20E9"/>
    <w:rsid w:val="000F4FCA"/>
    <w:rsid w:val="00100BAE"/>
    <w:rsid w:val="001033D2"/>
    <w:rsid w:val="00104EF4"/>
    <w:rsid w:val="00106D31"/>
    <w:rsid w:val="00110542"/>
    <w:rsid w:val="00124017"/>
    <w:rsid w:val="00155170"/>
    <w:rsid w:val="0017620F"/>
    <w:rsid w:val="00192D54"/>
    <w:rsid w:val="001944B8"/>
    <w:rsid w:val="001C126D"/>
    <w:rsid w:val="001D2A08"/>
    <w:rsid w:val="001E03E3"/>
    <w:rsid w:val="001E2440"/>
    <w:rsid w:val="001F4A95"/>
    <w:rsid w:val="002046D9"/>
    <w:rsid w:val="00211BD0"/>
    <w:rsid w:val="00227BBE"/>
    <w:rsid w:val="00231C75"/>
    <w:rsid w:val="002355B1"/>
    <w:rsid w:val="00243270"/>
    <w:rsid w:val="0025185B"/>
    <w:rsid w:val="00260FD4"/>
    <w:rsid w:val="0027176C"/>
    <w:rsid w:val="00297DAA"/>
    <w:rsid w:val="002B6AD1"/>
    <w:rsid w:val="002D07C9"/>
    <w:rsid w:val="002E76FD"/>
    <w:rsid w:val="00320DB5"/>
    <w:rsid w:val="00321001"/>
    <w:rsid w:val="00323906"/>
    <w:rsid w:val="003318BE"/>
    <w:rsid w:val="00336FF1"/>
    <w:rsid w:val="0034479E"/>
    <w:rsid w:val="00346A7E"/>
    <w:rsid w:val="00363FDD"/>
    <w:rsid w:val="00372C3B"/>
    <w:rsid w:val="00374EFE"/>
    <w:rsid w:val="00386EBE"/>
    <w:rsid w:val="003B181D"/>
    <w:rsid w:val="003C4ED4"/>
    <w:rsid w:val="003E21C7"/>
    <w:rsid w:val="003F5785"/>
    <w:rsid w:val="004578BE"/>
    <w:rsid w:val="00495F97"/>
    <w:rsid w:val="004A7BB2"/>
    <w:rsid w:val="004D6F5F"/>
    <w:rsid w:val="0050053F"/>
    <w:rsid w:val="0050563A"/>
    <w:rsid w:val="00510AAF"/>
    <w:rsid w:val="0058455F"/>
    <w:rsid w:val="00586A6C"/>
    <w:rsid w:val="00594C89"/>
    <w:rsid w:val="00596E3F"/>
    <w:rsid w:val="005A0483"/>
    <w:rsid w:val="005C3966"/>
    <w:rsid w:val="005D5437"/>
    <w:rsid w:val="0061549C"/>
    <w:rsid w:val="00622CC3"/>
    <w:rsid w:val="00631EFE"/>
    <w:rsid w:val="0063389A"/>
    <w:rsid w:val="00636E54"/>
    <w:rsid w:val="00642D92"/>
    <w:rsid w:val="006450AE"/>
    <w:rsid w:val="00670A7C"/>
    <w:rsid w:val="00683AF7"/>
    <w:rsid w:val="006841B8"/>
    <w:rsid w:val="00691D25"/>
    <w:rsid w:val="00694AFA"/>
    <w:rsid w:val="00697700"/>
    <w:rsid w:val="006B274F"/>
    <w:rsid w:val="006C4CE3"/>
    <w:rsid w:val="006D1B75"/>
    <w:rsid w:val="006D2623"/>
    <w:rsid w:val="006D4B48"/>
    <w:rsid w:val="00713D87"/>
    <w:rsid w:val="00735FA0"/>
    <w:rsid w:val="00744626"/>
    <w:rsid w:val="00764BEA"/>
    <w:rsid w:val="00786508"/>
    <w:rsid w:val="007A71E1"/>
    <w:rsid w:val="007D28E9"/>
    <w:rsid w:val="007D312A"/>
    <w:rsid w:val="007D71E6"/>
    <w:rsid w:val="007E070C"/>
    <w:rsid w:val="00810278"/>
    <w:rsid w:val="008129EB"/>
    <w:rsid w:val="00823776"/>
    <w:rsid w:val="00824AB4"/>
    <w:rsid w:val="0083336C"/>
    <w:rsid w:val="00856CDD"/>
    <w:rsid w:val="00870E3C"/>
    <w:rsid w:val="008A4324"/>
    <w:rsid w:val="008A4547"/>
    <w:rsid w:val="008A78AE"/>
    <w:rsid w:val="00920EB2"/>
    <w:rsid w:val="00933BE3"/>
    <w:rsid w:val="00933CD4"/>
    <w:rsid w:val="00934B2D"/>
    <w:rsid w:val="00940F18"/>
    <w:rsid w:val="00960ED8"/>
    <w:rsid w:val="00961429"/>
    <w:rsid w:val="00962F48"/>
    <w:rsid w:val="0097749A"/>
    <w:rsid w:val="009913BE"/>
    <w:rsid w:val="009936F6"/>
    <w:rsid w:val="009D60B9"/>
    <w:rsid w:val="009D629E"/>
    <w:rsid w:val="009E63A9"/>
    <w:rsid w:val="009F5C2B"/>
    <w:rsid w:val="00A24C1D"/>
    <w:rsid w:val="00A27C4E"/>
    <w:rsid w:val="00A40484"/>
    <w:rsid w:val="00A85BA6"/>
    <w:rsid w:val="00A94143"/>
    <w:rsid w:val="00AA6D76"/>
    <w:rsid w:val="00AB646F"/>
    <w:rsid w:val="00AC1539"/>
    <w:rsid w:val="00AC19F8"/>
    <w:rsid w:val="00AD0C21"/>
    <w:rsid w:val="00AD2324"/>
    <w:rsid w:val="00B0359E"/>
    <w:rsid w:val="00B16635"/>
    <w:rsid w:val="00B21DA9"/>
    <w:rsid w:val="00B34E5C"/>
    <w:rsid w:val="00B43FF2"/>
    <w:rsid w:val="00B52C36"/>
    <w:rsid w:val="00B57ABF"/>
    <w:rsid w:val="00B80A45"/>
    <w:rsid w:val="00B855B7"/>
    <w:rsid w:val="00BB4675"/>
    <w:rsid w:val="00BC094A"/>
    <w:rsid w:val="00BC289C"/>
    <w:rsid w:val="00BC6613"/>
    <w:rsid w:val="00BF4736"/>
    <w:rsid w:val="00BF7CE3"/>
    <w:rsid w:val="00C03638"/>
    <w:rsid w:val="00C14344"/>
    <w:rsid w:val="00C41A37"/>
    <w:rsid w:val="00C42FEA"/>
    <w:rsid w:val="00C81718"/>
    <w:rsid w:val="00CA4102"/>
    <w:rsid w:val="00CE1478"/>
    <w:rsid w:val="00CE267F"/>
    <w:rsid w:val="00D02638"/>
    <w:rsid w:val="00D02D14"/>
    <w:rsid w:val="00D106D9"/>
    <w:rsid w:val="00D6258D"/>
    <w:rsid w:val="00D82681"/>
    <w:rsid w:val="00D82DA0"/>
    <w:rsid w:val="00D97A42"/>
    <w:rsid w:val="00DA0667"/>
    <w:rsid w:val="00DA3D32"/>
    <w:rsid w:val="00DA7567"/>
    <w:rsid w:val="00DC4360"/>
    <w:rsid w:val="00DC6219"/>
    <w:rsid w:val="00DC75CA"/>
    <w:rsid w:val="00DD3EE6"/>
    <w:rsid w:val="00DD45F0"/>
    <w:rsid w:val="00DE74D0"/>
    <w:rsid w:val="00DE766D"/>
    <w:rsid w:val="00E12866"/>
    <w:rsid w:val="00E2549A"/>
    <w:rsid w:val="00E35541"/>
    <w:rsid w:val="00E66460"/>
    <w:rsid w:val="00E73A82"/>
    <w:rsid w:val="00E93451"/>
    <w:rsid w:val="00E95BA7"/>
    <w:rsid w:val="00EA07D5"/>
    <w:rsid w:val="00EB0A10"/>
    <w:rsid w:val="00EB2E70"/>
    <w:rsid w:val="00EB720C"/>
    <w:rsid w:val="00EE25EB"/>
    <w:rsid w:val="00F13300"/>
    <w:rsid w:val="00F270BC"/>
    <w:rsid w:val="00F55C8C"/>
    <w:rsid w:val="00F66FFB"/>
    <w:rsid w:val="00F7504C"/>
    <w:rsid w:val="00F910E9"/>
    <w:rsid w:val="00F91828"/>
    <w:rsid w:val="00FB145A"/>
    <w:rsid w:val="00FB70D5"/>
    <w:rsid w:val="00FD7567"/>
    <w:rsid w:val="00FD7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031A"/>
  <w15:chartTrackingRefBased/>
  <w15:docId w15:val="{6DCB704A-B377-144D-9ED7-E70EFE99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5CA"/>
    <w:pPr>
      <w:tabs>
        <w:tab w:val="center" w:pos="4513"/>
        <w:tab w:val="right" w:pos="9026"/>
      </w:tabs>
    </w:pPr>
  </w:style>
  <w:style w:type="character" w:customStyle="1" w:styleId="HeaderChar">
    <w:name w:val="Header Char"/>
    <w:basedOn w:val="DefaultParagraphFont"/>
    <w:link w:val="Header"/>
    <w:uiPriority w:val="99"/>
    <w:rsid w:val="00DC75CA"/>
  </w:style>
  <w:style w:type="paragraph" w:styleId="Footer">
    <w:name w:val="footer"/>
    <w:basedOn w:val="Normal"/>
    <w:link w:val="FooterChar"/>
    <w:uiPriority w:val="99"/>
    <w:unhideWhenUsed/>
    <w:rsid w:val="00DC75CA"/>
    <w:pPr>
      <w:tabs>
        <w:tab w:val="center" w:pos="4513"/>
        <w:tab w:val="right" w:pos="9026"/>
      </w:tabs>
    </w:pPr>
  </w:style>
  <w:style w:type="character" w:customStyle="1" w:styleId="FooterChar">
    <w:name w:val="Footer Char"/>
    <w:basedOn w:val="DefaultParagraphFont"/>
    <w:link w:val="Footer"/>
    <w:uiPriority w:val="99"/>
    <w:rsid w:val="00DC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8375">
      <w:bodyDiv w:val="1"/>
      <w:marLeft w:val="0"/>
      <w:marRight w:val="0"/>
      <w:marTop w:val="0"/>
      <w:marBottom w:val="0"/>
      <w:divBdr>
        <w:top w:val="none" w:sz="0" w:space="0" w:color="auto"/>
        <w:left w:val="none" w:sz="0" w:space="0" w:color="auto"/>
        <w:bottom w:val="none" w:sz="0" w:space="0" w:color="auto"/>
        <w:right w:val="none" w:sz="0" w:space="0" w:color="auto"/>
      </w:divBdr>
    </w:div>
    <w:div w:id="18898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8CFF42-3542-ED48-9BED-08D643F37375}">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CAD1102EA2C47815B98C8EF9C054C" ma:contentTypeVersion="12" ma:contentTypeDescription="Create a new document." ma:contentTypeScope="" ma:versionID="3ecd52151db23d6f88e90ab242c0b7a9">
  <xsd:schema xmlns:xsd="http://www.w3.org/2001/XMLSchema" xmlns:xs="http://www.w3.org/2001/XMLSchema" xmlns:p="http://schemas.microsoft.com/office/2006/metadata/properties" xmlns:ns2="f0badce8-8bec-4afe-8b71-507df7a0fa79" xmlns:ns3="bbcee201-93c5-406f-bac4-b2d34700ddef" targetNamespace="http://schemas.microsoft.com/office/2006/metadata/properties" ma:root="true" ma:fieldsID="f804eb69ef7bc20022db193887e3925c" ns2:_="" ns3:_="">
    <xsd:import namespace="f0badce8-8bec-4afe-8b71-507df7a0fa79"/>
    <xsd:import namespace="bbcee201-93c5-406f-bac4-b2d34700dd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adce8-8bec-4afe-8b71-507df7a0f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ee201-93c5-406f-bac4-b2d34700dd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4C21A-B97A-4409-8145-541A290A0B2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8CFE5EA1-AB05-4EC8-8EA4-E029FD33F896}">
  <ds:schemaRefs>
    <ds:schemaRef ds:uri="http://schemas.microsoft.com/sharepoint/v3/contenttype/forms"/>
  </ds:schemaRefs>
</ds:datastoreItem>
</file>

<file path=customXml/itemProps3.xml><?xml version="1.0" encoding="utf-8"?>
<ds:datastoreItem xmlns:ds="http://schemas.openxmlformats.org/officeDocument/2006/customXml" ds:itemID="{57F15DD4-4A92-4C5E-B171-405FFB52E4C0}">
  <ds:schemaRefs>
    <ds:schemaRef ds:uri="http://schemas.microsoft.com/office/2006/metadata/contentType"/>
    <ds:schemaRef ds:uri="http://schemas.microsoft.com/office/2006/metadata/properties/metaAttributes"/>
    <ds:schemaRef ds:uri="http://www.w3.org/2000/xmlns/"/>
    <ds:schemaRef ds:uri="http://www.w3.org/2001/XMLSchema"/>
    <ds:schemaRef ds:uri="f0badce8-8bec-4afe-8b71-507df7a0fa79"/>
    <ds:schemaRef ds:uri="bbcee201-93c5-406f-bac4-b2d34700dde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1236</Words>
  <Characters>7049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Clark</dc:creator>
  <cp:keywords/>
  <dc:description/>
  <cp:lastModifiedBy>Melissa Tahere</cp:lastModifiedBy>
  <cp:revision>2</cp:revision>
  <dcterms:created xsi:type="dcterms:W3CDTF">2021-08-25T23:58:00Z</dcterms:created>
  <dcterms:modified xsi:type="dcterms:W3CDTF">2021-08-25T23:58:00Z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0x010100384CAD1102EA2C47815B98C8EF9C054C</vt:lpwstr>
  </property>
  <property fmtid="{D5CDD505-2E9C-101B-9397-08002B2CF9AE}" pid="3" name="grammarly_documentId">
    <vt:lpwstr>documentId_2618</vt:lpwstr>
  </property>
  <property fmtid="{D5CDD505-2E9C-101B-9397-08002B2CF9AE}" pid="4" name="grammarly_documentContext">
    <vt:lpwstr>{"goals":[],"domain":"general","emotions":[],"dialect":"australian"}</vt:lpwstr>
  </property>
</Properties>
</file>